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66" w:rsidRDefault="00643A66"/>
    <w:tbl>
      <w:tblPr>
        <w:tblStyle w:val="Tabela-Siatka"/>
        <w:tblpPr w:leftFromText="141" w:rightFromText="141" w:vertAnchor="text" w:tblpX="250" w:tblpY="1"/>
        <w:tblOverlap w:val="never"/>
        <w:tblW w:w="3175" w:type="dxa"/>
        <w:shd w:val="pct20" w:color="92D050" w:fill="00B050"/>
        <w:tblLayout w:type="fixed"/>
        <w:tblLook w:val="04A0" w:firstRow="1" w:lastRow="0" w:firstColumn="1" w:lastColumn="0" w:noHBand="0" w:noVBand="1"/>
      </w:tblPr>
      <w:tblGrid>
        <w:gridCol w:w="3175"/>
      </w:tblGrid>
      <w:tr w:rsidR="00B11B12" w:rsidRPr="003E4CCB" w:rsidTr="00E47869">
        <w:trPr>
          <w:cantSplit/>
          <w:trHeight w:val="10885"/>
        </w:trPr>
        <w:tc>
          <w:tcPr>
            <w:tcW w:w="3175" w:type="dxa"/>
            <w:shd w:val="pct20" w:color="92D050" w:fill="00B050"/>
          </w:tcPr>
          <w:p w:rsidR="007357A0" w:rsidRPr="00E47869" w:rsidRDefault="007357A0" w:rsidP="007357A0">
            <w:pPr>
              <w:jc w:val="center"/>
              <w:rPr>
                <w:rFonts w:ascii="Verdana" w:hAnsi="Verdana"/>
                <w:b/>
                <w:color w:val="002060"/>
                <w:sz w:val="24"/>
                <w:szCs w:val="2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</w:rPr>
            </w:pPr>
            <w:r w:rsidRPr="00E47869">
              <w:rPr>
                <w:rFonts w:ascii="Verdana" w:hAnsi="Verdana"/>
                <w:b/>
                <w:color w:val="002060"/>
                <w:sz w:val="24"/>
                <w:szCs w:val="2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</w:rPr>
              <w:t>Protokół z prac Komisji Inwentaryzacyjnej</w:t>
            </w:r>
          </w:p>
          <w:p w:rsidR="007357A0" w:rsidRPr="00E47869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</w:p>
          <w:p w:rsidR="007357A0" w:rsidRPr="00E47869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color w:val="002060"/>
                <w:sz w:val="20"/>
                <w:szCs w:val="20"/>
              </w:rPr>
            </w:pPr>
            <w:r w:rsidRPr="00E47869">
              <w:rPr>
                <w:rFonts w:ascii="Verdana" w:hAnsi="Verdana"/>
                <w:b/>
                <w:color w:val="002060"/>
                <w:sz w:val="20"/>
                <w:szCs w:val="20"/>
              </w:rPr>
              <w:t>inwestycji pn.:</w:t>
            </w:r>
          </w:p>
          <w:p w:rsidR="007357A0" w:rsidRPr="00E47869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bCs/>
                <w:i/>
                <w:noProof/>
                <w:color w:val="002060"/>
                <w:sz w:val="20"/>
                <w:szCs w:val="20"/>
              </w:rPr>
            </w:pPr>
            <w:r w:rsidRPr="00E47869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</w:t>
            </w:r>
            <w:r w:rsidRPr="00E47869">
              <w:rPr>
                <w:rFonts w:ascii="Verdana" w:hAnsi="Verdana" w:cs="Helvetica-Bold"/>
                <w:b/>
                <w:bCs/>
                <w:i/>
                <w:color w:val="002060"/>
                <w:sz w:val="20"/>
                <w:szCs w:val="20"/>
              </w:rPr>
              <w:t>„</w:t>
            </w:r>
            <w:r w:rsidRPr="00E47869">
              <w:rPr>
                <w:rFonts w:ascii="Verdana" w:hAnsi="Verdana"/>
                <w:b/>
                <w:bCs/>
                <w:i/>
                <w:iCs/>
                <w:noProof/>
                <w:color w:val="002060"/>
                <w:sz w:val="20"/>
                <w:szCs w:val="20"/>
              </w:rPr>
              <w:t>Przebudowa paw. D-4 na sale dydaktyczne i laboratoria dla tworzonego WEiP AGH</w:t>
            </w:r>
            <w:r w:rsidRPr="00E47869">
              <w:rPr>
                <w:rFonts w:ascii="Verdana" w:hAnsi="Verdana"/>
                <w:b/>
                <w:bCs/>
                <w:i/>
                <w:noProof/>
                <w:color w:val="002060"/>
                <w:sz w:val="20"/>
                <w:szCs w:val="20"/>
              </w:rPr>
              <w:t xml:space="preserve">” </w:t>
            </w:r>
          </w:p>
          <w:p w:rsidR="00643A66" w:rsidRPr="00E47869" w:rsidRDefault="007357A0" w:rsidP="007357A0">
            <w:pPr>
              <w:pStyle w:val="Akapitzlist"/>
              <w:ind w:left="0"/>
              <w:jc w:val="center"/>
              <w:rPr>
                <w:b/>
                <w:color w:val="002060"/>
                <w:sz w:val="32"/>
                <w:szCs w:val="32"/>
              </w:rPr>
            </w:pPr>
            <w:r w:rsidRPr="00E47869">
              <w:rPr>
                <w:rFonts w:ascii="Verdana" w:hAnsi="Verdana"/>
                <w:b/>
                <w:bCs/>
                <w:i/>
                <w:noProof/>
                <w:color w:val="002060"/>
                <w:sz w:val="20"/>
                <w:szCs w:val="20"/>
              </w:rPr>
              <w:t>nr projektu POIS.13.01.00-00-055/08,</w:t>
            </w:r>
            <w:r w:rsidRPr="00E47869">
              <w:rPr>
                <w:rFonts w:ascii="Verdana" w:hAnsi="Verdana"/>
                <w:b/>
                <w:bCs/>
                <w:noProof/>
                <w:color w:val="002060"/>
                <w:sz w:val="20"/>
                <w:szCs w:val="20"/>
              </w:rPr>
              <w:t xml:space="preserve"> </w:t>
            </w:r>
            <w:r w:rsidRPr="00E47869">
              <w:rPr>
                <w:rFonts w:ascii="Verdana" w:hAnsi="Verdana"/>
                <w:b/>
                <w:color w:val="002060"/>
                <w:sz w:val="20"/>
                <w:szCs w:val="20"/>
              </w:rPr>
              <w:t>umowa na roboty budowlane z SR BUDMET nr RU/60/2010 z dnia 10.05.2010.</w:t>
            </w:r>
          </w:p>
          <w:p w:rsidR="00F8218D" w:rsidRDefault="00F8218D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643A66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Pr="00C32AFE" w:rsidRDefault="00E47869" w:rsidP="007357A0">
            <w:pPr>
              <w:pStyle w:val="Akapitzli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  <w:bookmarkStart w:id="0" w:name="_GoBack"/>
            <w:bookmarkEnd w:id="0"/>
          </w:p>
        </w:tc>
      </w:tr>
    </w:tbl>
    <w:tbl>
      <w:tblPr>
        <w:tblStyle w:val="Tabela-Siatka"/>
        <w:tblpPr w:leftFromText="141" w:rightFromText="141" w:vertAnchor="text" w:horzAnchor="page" w:tblpX="8244" w:tblpY="-55"/>
        <w:tblOverlap w:val="never"/>
        <w:tblW w:w="317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</w:tblGrid>
      <w:tr w:rsidR="00643A66" w:rsidRPr="003E4CCB" w:rsidTr="00643A66">
        <w:trPr>
          <w:cantSplit/>
          <w:trHeight w:val="10885"/>
        </w:trPr>
        <w:tc>
          <w:tcPr>
            <w:tcW w:w="3175" w:type="dxa"/>
          </w:tcPr>
          <w:p w:rsidR="007357A0" w:rsidRPr="007357A0" w:rsidRDefault="007357A0" w:rsidP="007357A0">
            <w:pPr>
              <w:jc w:val="center"/>
              <w:rPr>
                <w:rFonts w:ascii="Verdana" w:hAnsi="Verdana"/>
                <w:b/>
                <w:sz w:val="24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357A0">
              <w:rPr>
                <w:rFonts w:ascii="Verdana" w:hAnsi="Verdana"/>
                <w:b/>
                <w:sz w:val="24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Protokół z prac Komisji Inwentaryzacyjnej</w:t>
            </w:r>
          </w:p>
          <w:p w:rsid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62673">
              <w:rPr>
                <w:rFonts w:ascii="Verdana" w:hAnsi="Verdana"/>
                <w:b/>
                <w:sz w:val="20"/>
                <w:szCs w:val="20"/>
              </w:rPr>
              <w:t>inwestycji pn.:</w:t>
            </w:r>
          </w:p>
          <w:p w:rsidR="007357A0" w:rsidRP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bCs/>
                <w:i/>
                <w:noProof/>
                <w:color w:val="0070C0"/>
                <w:sz w:val="20"/>
                <w:szCs w:val="20"/>
              </w:rPr>
            </w:pPr>
            <w:r w:rsidRPr="00E6267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7357A0">
              <w:rPr>
                <w:rFonts w:ascii="Verdana" w:hAnsi="Verdana" w:cs="Helvetica-Bold"/>
                <w:b/>
                <w:bCs/>
                <w:i/>
                <w:color w:val="0070C0"/>
                <w:sz w:val="20"/>
                <w:szCs w:val="20"/>
              </w:rPr>
              <w:t>„</w:t>
            </w:r>
            <w:r w:rsidRPr="007357A0">
              <w:rPr>
                <w:rFonts w:ascii="Verdana" w:hAnsi="Verdana"/>
                <w:b/>
                <w:bCs/>
                <w:i/>
                <w:iCs/>
                <w:noProof/>
                <w:color w:val="0070C0"/>
                <w:sz w:val="20"/>
                <w:szCs w:val="20"/>
              </w:rPr>
              <w:t>Przebudowa paw. D-4 na sale dydaktyczne i laboratoria dla tworzonego WEiP AGH</w:t>
            </w:r>
            <w:r w:rsidRPr="007357A0">
              <w:rPr>
                <w:rFonts w:ascii="Verdana" w:hAnsi="Verdana"/>
                <w:b/>
                <w:bCs/>
                <w:i/>
                <w:noProof/>
                <w:color w:val="0070C0"/>
                <w:sz w:val="20"/>
                <w:szCs w:val="20"/>
              </w:rPr>
              <w:t xml:space="preserve">” </w:t>
            </w:r>
          </w:p>
          <w:p w:rsidR="007357A0" w:rsidRPr="007357A0" w:rsidRDefault="007357A0" w:rsidP="007357A0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7357A0">
              <w:rPr>
                <w:rFonts w:ascii="Verdana" w:hAnsi="Verdana"/>
                <w:b/>
                <w:bCs/>
                <w:i/>
                <w:noProof/>
                <w:sz w:val="20"/>
                <w:szCs w:val="20"/>
              </w:rPr>
              <w:t>nr projektu POIS.13.01.00-00-055/08,</w:t>
            </w:r>
            <w:r w:rsidRPr="007357A0">
              <w:rPr>
                <w:rFonts w:ascii="Verdana" w:hAnsi="Verdana"/>
                <w:b/>
                <w:bCs/>
                <w:noProof/>
                <w:sz w:val="20"/>
                <w:szCs w:val="20"/>
              </w:rPr>
              <w:t xml:space="preserve"> </w:t>
            </w:r>
            <w:r w:rsidRPr="007357A0">
              <w:rPr>
                <w:rFonts w:ascii="Verdana" w:hAnsi="Verdana"/>
                <w:b/>
                <w:sz w:val="20"/>
                <w:szCs w:val="20"/>
              </w:rPr>
              <w:t>umowa na roboty budowlane z SR BUDMET nr RU/60/2010 z dnia 10.05.2010.</w:t>
            </w: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643A66" w:rsidRPr="00C32AFE" w:rsidRDefault="007357A0" w:rsidP="007357A0">
            <w:pPr>
              <w:pStyle w:val="Akapitzli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KOPIA</w:t>
            </w:r>
          </w:p>
        </w:tc>
      </w:tr>
    </w:tbl>
    <w:tbl>
      <w:tblPr>
        <w:tblStyle w:val="Tabela-Siatka"/>
        <w:tblpPr w:leftFromText="141" w:rightFromText="141" w:vertAnchor="text" w:horzAnchor="margin" w:tblpXSpec="center" w:tblpY="-24"/>
        <w:tblOverlap w:val="never"/>
        <w:tblW w:w="317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</w:tblGrid>
      <w:tr w:rsidR="00643A66" w:rsidRPr="003E4CCB" w:rsidTr="00643A66">
        <w:trPr>
          <w:cantSplit/>
          <w:trHeight w:val="10885"/>
        </w:trPr>
        <w:tc>
          <w:tcPr>
            <w:tcW w:w="3175" w:type="dxa"/>
          </w:tcPr>
          <w:p w:rsidR="007357A0" w:rsidRPr="007357A0" w:rsidRDefault="007357A0" w:rsidP="007357A0">
            <w:pPr>
              <w:jc w:val="center"/>
              <w:rPr>
                <w:rFonts w:ascii="Verdana" w:hAnsi="Verdana"/>
                <w:b/>
                <w:sz w:val="24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357A0">
              <w:rPr>
                <w:rFonts w:ascii="Verdana" w:hAnsi="Verdana"/>
                <w:b/>
                <w:sz w:val="24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Protokół z prac Komisji Inwentaryzacyjnej</w:t>
            </w:r>
          </w:p>
          <w:p w:rsid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62673">
              <w:rPr>
                <w:rFonts w:ascii="Verdana" w:hAnsi="Verdana"/>
                <w:b/>
                <w:sz w:val="20"/>
                <w:szCs w:val="20"/>
              </w:rPr>
              <w:t>inwestycji pn.:</w:t>
            </w:r>
          </w:p>
          <w:p w:rsidR="007357A0" w:rsidRPr="007357A0" w:rsidRDefault="007357A0" w:rsidP="007357A0">
            <w:pPr>
              <w:pStyle w:val="Akapitzlist"/>
              <w:ind w:left="0"/>
              <w:jc w:val="center"/>
              <w:rPr>
                <w:rFonts w:ascii="Verdana" w:hAnsi="Verdana"/>
                <w:b/>
                <w:bCs/>
                <w:i/>
                <w:noProof/>
                <w:color w:val="0070C0"/>
                <w:sz w:val="20"/>
                <w:szCs w:val="20"/>
              </w:rPr>
            </w:pPr>
            <w:r w:rsidRPr="007357A0">
              <w:rPr>
                <w:rFonts w:ascii="Verdana" w:hAnsi="Verdana"/>
                <w:b/>
                <w:color w:val="0070C0"/>
                <w:sz w:val="20"/>
                <w:szCs w:val="20"/>
              </w:rPr>
              <w:t xml:space="preserve"> </w:t>
            </w:r>
            <w:r w:rsidRPr="007357A0">
              <w:rPr>
                <w:rFonts w:ascii="Verdana" w:hAnsi="Verdana" w:cs="Helvetica-Bold"/>
                <w:b/>
                <w:bCs/>
                <w:i/>
                <w:color w:val="0070C0"/>
                <w:sz w:val="20"/>
                <w:szCs w:val="20"/>
              </w:rPr>
              <w:t>„</w:t>
            </w:r>
            <w:r w:rsidRPr="007357A0">
              <w:rPr>
                <w:rFonts w:ascii="Verdana" w:hAnsi="Verdana"/>
                <w:b/>
                <w:bCs/>
                <w:i/>
                <w:iCs/>
                <w:noProof/>
                <w:color w:val="0070C0"/>
                <w:sz w:val="20"/>
                <w:szCs w:val="20"/>
              </w:rPr>
              <w:t>Przebudowa paw. D-4 na sale dydaktyczne i laboratoria dla tworzonego WEiP AGH</w:t>
            </w:r>
            <w:r w:rsidRPr="007357A0">
              <w:rPr>
                <w:rFonts w:ascii="Verdana" w:hAnsi="Verdana"/>
                <w:b/>
                <w:bCs/>
                <w:i/>
                <w:noProof/>
                <w:color w:val="0070C0"/>
                <w:sz w:val="20"/>
                <w:szCs w:val="20"/>
              </w:rPr>
              <w:t xml:space="preserve">” </w:t>
            </w:r>
          </w:p>
          <w:p w:rsidR="007357A0" w:rsidRPr="007357A0" w:rsidRDefault="007357A0" w:rsidP="007357A0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7357A0">
              <w:rPr>
                <w:rFonts w:ascii="Verdana" w:hAnsi="Verdana"/>
                <w:b/>
                <w:bCs/>
                <w:i/>
                <w:noProof/>
                <w:sz w:val="20"/>
                <w:szCs w:val="20"/>
              </w:rPr>
              <w:t>nr projektu POIS.13.01.00-00-055/08,</w:t>
            </w:r>
            <w:r w:rsidRPr="007357A0">
              <w:rPr>
                <w:rFonts w:ascii="Verdana" w:hAnsi="Verdana"/>
                <w:b/>
                <w:bCs/>
                <w:noProof/>
                <w:sz w:val="20"/>
                <w:szCs w:val="20"/>
              </w:rPr>
              <w:t xml:space="preserve"> </w:t>
            </w:r>
            <w:r w:rsidRPr="007357A0">
              <w:rPr>
                <w:rFonts w:ascii="Verdana" w:hAnsi="Verdana"/>
                <w:b/>
                <w:sz w:val="20"/>
                <w:szCs w:val="20"/>
              </w:rPr>
              <w:t>umowa na roboty budowlane z SR BUDMET nr RU/60/2010 z dnia 10.05.2010.</w:t>
            </w: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7357A0" w:rsidRDefault="007357A0" w:rsidP="007357A0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643A66" w:rsidRPr="00C32AFE" w:rsidRDefault="007357A0" w:rsidP="007357A0">
            <w:pPr>
              <w:pStyle w:val="Akapitzli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KOPIA</w:t>
            </w:r>
          </w:p>
        </w:tc>
      </w:tr>
    </w:tbl>
    <w:p w:rsidR="0089347A" w:rsidRDefault="0089347A" w:rsidP="00645A30">
      <w:pPr>
        <w:rPr>
          <w:sz w:val="28"/>
          <w:szCs w:val="28"/>
        </w:rPr>
      </w:pPr>
    </w:p>
    <w:p w:rsidR="0089347A" w:rsidRPr="008B43B7" w:rsidRDefault="0089347A" w:rsidP="008B43B7">
      <w:pPr>
        <w:jc w:val="center"/>
        <w:rPr>
          <w:sz w:val="28"/>
          <w:szCs w:val="28"/>
        </w:rPr>
      </w:pPr>
    </w:p>
    <w:sectPr w:rsidR="0089347A" w:rsidRPr="008B43B7" w:rsidSect="00643A6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57ED"/>
    <w:multiLevelType w:val="hybridMultilevel"/>
    <w:tmpl w:val="E1866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76030"/>
    <w:multiLevelType w:val="hybridMultilevel"/>
    <w:tmpl w:val="CA20D6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164DA0"/>
    <w:multiLevelType w:val="hybridMultilevel"/>
    <w:tmpl w:val="664AA6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3B"/>
    <w:rsid w:val="000107F7"/>
    <w:rsid w:val="001027AE"/>
    <w:rsid w:val="002657B9"/>
    <w:rsid w:val="00313457"/>
    <w:rsid w:val="00331828"/>
    <w:rsid w:val="003E4CCB"/>
    <w:rsid w:val="004A6F57"/>
    <w:rsid w:val="00643A66"/>
    <w:rsid w:val="00645A30"/>
    <w:rsid w:val="006C35DD"/>
    <w:rsid w:val="006C7271"/>
    <w:rsid w:val="007357A0"/>
    <w:rsid w:val="008805B1"/>
    <w:rsid w:val="0089347A"/>
    <w:rsid w:val="008B43B7"/>
    <w:rsid w:val="00A25261"/>
    <w:rsid w:val="00A843D6"/>
    <w:rsid w:val="00B11B12"/>
    <w:rsid w:val="00B63E2F"/>
    <w:rsid w:val="00C32AFE"/>
    <w:rsid w:val="00C70FA1"/>
    <w:rsid w:val="00D37F6E"/>
    <w:rsid w:val="00E47869"/>
    <w:rsid w:val="00E8064E"/>
    <w:rsid w:val="00EB6C52"/>
    <w:rsid w:val="00EF783B"/>
    <w:rsid w:val="00F8218D"/>
    <w:rsid w:val="00FE50CE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3B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B4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821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57A0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357A0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3B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B4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821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57A0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357A0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8CFE-390C-49EF-8858-E240D87F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dm</cp:lastModifiedBy>
  <cp:revision>2</cp:revision>
  <cp:lastPrinted>2011-06-09T07:59:00Z</cp:lastPrinted>
  <dcterms:created xsi:type="dcterms:W3CDTF">2011-06-09T08:10:00Z</dcterms:created>
  <dcterms:modified xsi:type="dcterms:W3CDTF">2011-06-09T08:10:00Z</dcterms:modified>
</cp:coreProperties>
</file>