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3D" w:rsidRPr="001F2543" w:rsidRDefault="00553A3D" w:rsidP="00553A3D">
      <w:pPr>
        <w:autoSpaceDE w:val="0"/>
        <w:autoSpaceDN w:val="0"/>
        <w:adjustRightInd w:val="0"/>
        <w:ind w:left="5812" w:firstLine="569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Kraków 16.11.2023 r</w:t>
      </w:r>
      <w:r w:rsidR="0003458A">
        <w:rPr>
          <w:rFonts w:ascii="Verdana" w:hAnsi="Verdana"/>
          <w:sz w:val="20"/>
          <w:szCs w:val="20"/>
        </w:rPr>
        <w:t>.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DTI.213-02-2-21/23</w:t>
      </w:r>
    </w:p>
    <w:p w:rsidR="00553A3D" w:rsidRPr="001F2543" w:rsidRDefault="00553A3D" w:rsidP="00553A3D">
      <w:pPr>
        <w:autoSpaceDE w:val="0"/>
        <w:autoSpaceDN w:val="0"/>
        <w:adjustRightInd w:val="0"/>
        <w:ind w:left="5103"/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autoSpaceDE w:val="0"/>
        <w:autoSpaceDN w:val="0"/>
        <w:adjustRightInd w:val="0"/>
        <w:ind w:left="5103"/>
        <w:jc w:val="both"/>
        <w:rPr>
          <w:rFonts w:ascii="Verdana" w:hAnsi="Verdana"/>
          <w:b/>
          <w:sz w:val="20"/>
          <w:szCs w:val="20"/>
        </w:rPr>
      </w:pP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F2543">
        <w:rPr>
          <w:rFonts w:ascii="Verdana" w:hAnsi="Verdana"/>
          <w:b/>
          <w:sz w:val="20"/>
          <w:szCs w:val="20"/>
        </w:rPr>
        <w:t>Prezydent Miasta Krakowa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1F2543">
        <w:rPr>
          <w:rFonts w:ascii="Verdana" w:hAnsi="Verdana"/>
          <w:i/>
          <w:sz w:val="20"/>
          <w:szCs w:val="20"/>
        </w:rPr>
        <w:t>za pośrednictwem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F2543">
        <w:rPr>
          <w:rFonts w:ascii="Verdana" w:hAnsi="Verdana"/>
          <w:b/>
          <w:sz w:val="20"/>
          <w:szCs w:val="20"/>
        </w:rPr>
        <w:t>Wydziału Planowania Przestrzennego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F2543">
        <w:rPr>
          <w:rFonts w:ascii="Verdana" w:hAnsi="Verdana"/>
          <w:b/>
          <w:sz w:val="20"/>
          <w:szCs w:val="20"/>
        </w:rPr>
        <w:t>Urzędu Miasta Krakowa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F2543">
        <w:rPr>
          <w:rFonts w:ascii="Verdana" w:hAnsi="Verdana"/>
          <w:b/>
          <w:sz w:val="20"/>
          <w:szCs w:val="20"/>
        </w:rPr>
        <w:t>ul. Mogilska 41, 31-545 Kraków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021D6B" w:rsidRDefault="00553A3D" w:rsidP="00553A3D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</w:p>
    <w:p w:rsidR="004258EE" w:rsidRDefault="00553A3D" w:rsidP="00021D6B">
      <w:pPr>
        <w:jc w:val="center"/>
        <w:rPr>
          <w:rFonts w:ascii="Verdana" w:hAnsi="Verdana"/>
          <w:b/>
          <w:sz w:val="20"/>
          <w:szCs w:val="20"/>
        </w:rPr>
      </w:pPr>
      <w:r w:rsidRPr="00283093">
        <w:rPr>
          <w:rFonts w:ascii="Verdana" w:hAnsi="Verdana"/>
          <w:b/>
          <w:sz w:val="20"/>
          <w:szCs w:val="20"/>
        </w:rPr>
        <w:t>WNIOSKI</w:t>
      </w:r>
      <w:r w:rsidR="004258EE">
        <w:rPr>
          <w:rFonts w:ascii="Verdana" w:hAnsi="Verdana"/>
          <w:b/>
          <w:sz w:val="20"/>
          <w:szCs w:val="20"/>
        </w:rPr>
        <w:t xml:space="preserve"> </w:t>
      </w:r>
    </w:p>
    <w:p w:rsidR="00553A3D" w:rsidRDefault="004258EE" w:rsidP="00021D6B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4258EE">
        <w:rPr>
          <w:rFonts w:ascii="Verdana" w:hAnsi="Verdana"/>
          <w:b/>
          <w:color w:val="FF0000"/>
          <w:sz w:val="20"/>
          <w:szCs w:val="20"/>
        </w:rPr>
        <w:t>(Komentarz po przedstawieniu koncepcji MPZP Reymonta Oleandry)</w:t>
      </w:r>
    </w:p>
    <w:p w:rsidR="009812C6" w:rsidRPr="004258EE" w:rsidRDefault="009812C6" w:rsidP="00021D6B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C25D86" w:rsidP="00553A3D">
      <w:pPr>
        <w:jc w:val="both"/>
        <w:rPr>
          <w:rStyle w:val="Uwydatnienie"/>
          <w:rFonts w:ascii="Verdana" w:hAnsi="Verdana"/>
          <w:b/>
          <w:i w:val="0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1F2543">
        <w:rPr>
          <w:rFonts w:ascii="Verdana" w:hAnsi="Verdana"/>
          <w:sz w:val="20"/>
          <w:szCs w:val="20"/>
        </w:rPr>
        <w:t>o</w:t>
      </w:r>
      <w:r w:rsidR="00553A3D" w:rsidRPr="001F2543">
        <w:rPr>
          <w:rFonts w:ascii="Verdana" w:hAnsi="Verdana"/>
          <w:sz w:val="20"/>
          <w:szCs w:val="20"/>
        </w:rPr>
        <w:t xml:space="preserve"> projektu miejscowego planu zagospodarowania przestrzennego </w:t>
      </w:r>
      <w:r w:rsidR="00553A3D" w:rsidRPr="001F2543">
        <w:rPr>
          <w:rStyle w:val="Uwydatnienie"/>
          <w:rFonts w:ascii="Verdana" w:hAnsi="Verdana"/>
          <w:b/>
          <w:snapToGrid w:val="0"/>
          <w:sz w:val="20"/>
          <w:szCs w:val="20"/>
        </w:rPr>
        <w:t xml:space="preserve">"Rejon </w:t>
      </w:r>
      <w:r w:rsidR="0003458A">
        <w:rPr>
          <w:rStyle w:val="Uwydatnienie"/>
          <w:rFonts w:ascii="Verdana" w:hAnsi="Verdana"/>
          <w:b/>
          <w:snapToGrid w:val="0"/>
          <w:sz w:val="20"/>
          <w:szCs w:val="20"/>
        </w:rPr>
        <w:t>u</w:t>
      </w:r>
      <w:r w:rsidR="00553A3D" w:rsidRPr="001F2543">
        <w:rPr>
          <w:rStyle w:val="Uwydatnienie"/>
          <w:rFonts w:ascii="Verdana" w:hAnsi="Verdana"/>
          <w:b/>
          <w:snapToGrid w:val="0"/>
          <w:sz w:val="20"/>
          <w:szCs w:val="20"/>
        </w:rPr>
        <w:t>licy Reymonta i Oleandry"</w:t>
      </w:r>
      <w:r w:rsidR="00021D6B">
        <w:rPr>
          <w:rStyle w:val="Uwydatnienie"/>
          <w:rFonts w:ascii="Verdana" w:hAnsi="Verdana"/>
          <w:b/>
          <w:snapToGrid w:val="0"/>
          <w:sz w:val="20"/>
          <w:szCs w:val="20"/>
        </w:rPr>
        <w:t>.</w:t>
      </w:r>
    </w:p>
    <w:p w:rsidR="00553A3D" w:rsidRPr="001F2543" w:rsidRDefault="00553A3D" w:rsidP="00553A3D">
      <w:pPr>
        <w:jc w:val="both"/>
        <w:rPr>
          <w:rStyle w:val="Uwydatnienie"/>
          <w:rFonts w:ascii="Verdana" w:hAnsi="Verdana"/>
          <w:b/>
          <w:bCs/>
          <w:i w:val="0"/>
          <w:snapToGrid w:val="0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br/>
        <w:t xml:space="preserve">W związku z przystąpieniem do sporządzania miejscowego planu zagospodarowania przestrzennego "Rejon </w:t>
      </w:r>
      <w:r w:rsidR="0003458A">
        <w:rPr>
          <w:rFonts w:ascii="Verdana" w:hAnsi="Verdana"/>
          <w:sz w:val="20"/>
          <w:szCs w:val="20"/>
        </w:rPr>
        <w:t>u</w:t>
      </w:r>
      <w:r w:rsidRPr="001F2543">
        <w:rPr>
          <w:rFonts w:ascii="Verdana" w:hAnsi="Verdana"/>
          <w:sz w:val="20"/>
          <w:szCs w:val="20"/>
        </w:rPr>
        <w:t xml:space="preserve">licy Reymonta i Oleandry", obejmującego swoim zakresem </w:t>
      </w:r>
      <w:r w:rsidR="008D15DC">
        <w:rPr>
          <w:rFonts w:ascii="Verdana" w:hAnsi="Verdana"/>
          <w:sz w:val="20"/>
          <w:szCs w:val="20"/>
        </w:rPr>
        <w:t>k</w:t>
      </w:r>
      <w:r w:rsidRPr="001F2543">
        <w:rPr>
          <w:rFonts w:ascii="Verdana" w:hAnsi="Verdana"/>
          <w:sz w:val="20"/>
          <w:szCs w:val="20"/>
        </w:rPr>
        <w:t>ampus główny AGH w Krakowie</w:t>
      </w:r>
      <w:r w:rsidR="00021D6B">
        <w:rPr>
          <w:rFonts w:ascii="Verdana" w:hAnsi="Verdana"/>
          <w:sz w:val="20"/>
          <w:szCs w:val="20"/>
        </w:rPr>
        <w:t>,</w:t>
      </w:r>
      <w:r w:rsidRPr="001F2543">
        <w:rPr>
          <w:rFonts w:ascii="Verdana" w:hAnsi="Verdana"/>
          <w:sz w:val="20"/>
          <w:szCs w:val="20"/>
        </w:rPr>
        <w:t xml:space="preserve"> zwracamy się z prośbą o uwzględnienie poniższych wniosków:</w:t>
      </w:r>
      <w:r w:rsidRPr="001F2543">
        <w:rPr>
          <w:rFonts w:ascii="Verdana" w:hAnsi="Verdana"/>
          <w:sz w:val="20"/>
          <w:szCs w:val="20"/>
        </w:rPr>
        <w:br/>
      </w: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Uwzględnienie parametrów wydanych w decyzjach lokalizacyjnych, uzyskanych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przedmiotowym terenie, w szczególności decyzji dotyczących:</w:t>
      </w:r>
    </w:p>
    <w:p w:rsidR="00553A3D" w:rsidRPr="001F2543" w:rsidRDefault="00553A3D" w:rsidP="00553A3D">
      <w:pPr>
        <w:pStyle w:val="Default"/>
        <w:jc w:val="both"/>
        <w:rPr>
          <w:rFonts w:ascii="Verdana" w:eastAsia="Calibri" w:hAnsi="Verdana"/>
          <w:snapToGrid/>
          <w:color w:val="auto"/>
          <w:sz w:val="20"/>
        </w:rPr>
      </w:pPr>
    </w:p>
    <w:p w:rsidR="00553A3D" w:rsidRPr="001F2543" w:rsidRDefault="00553A3D" w:rsidP="00553A3D">
      <w:pPr>
        <w:pStyle w:val="Default"/>
        <w:spacing w:after="60"/>
        <w:jc w:val="both"/>
        <w:rPr>
          <w:rFonts w:ascii="Verdana" w:eastAsia="Calibri" w:hAnsi="Verdana"/>
          <w:b/>
          <w:snapToGrid/>
          <w:color w:val="auto"/>
          <w:sz w:val="20"/>
        </w:rPr>
      </w:pPr>
      <w:r w:rsidRPr="001F2543">
        <w:rPr>
          <w:rFonts w:ascii="Verdana" w:eastAsia="Calibri" w:hAnsi="Verdana"/>
          <w:b/>
          <w:snapToGrid/>
          <w:color w:val="auto"/>
          <w:sz w:val="20"/>
        </w:rPr>
        <w:t>DECYZJE ULICP: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AU-17/6733/2023 o Ustaleniu Lokalizacji Inwestycji Celu Publicznego, z dnia 06.02.2023r., dot. zamierzenia inwestycyjnego pn.: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 xml:space="preserve">Przebudowa budynku C-4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 xml:space="preserve">Wydziału Geodezji Górniczej i Inżynierii Środowiska Akademii Górniczo-Hutniczej im. Stanisława Staszica w Krakowie polegająca na budowie nowego wejścia do budynku oraz wewnętrznej windy w celu przystosowania budynku dla osób niepełnosprawnych, wykonanie utwardzenia przed projektowanym wejściem na działce nr 19/47 </w:t>
      </w:r>
      <w:proofErr w:type="spellStart"/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. 12 Krowodrza przy al.</w:t>
      </w:r>
      <w:r w:rsidR="001F2543">
        <w:rPr>
          <w:rFonts w:ascii="Verdana" w:eastAsia="Calibri" w:hAnsi="Verdana"/>
          <w:i/>
          <w:iCs/>
          <w:snapToGrid/>
          <w:color w:val="auto"/>
          <w:sz w:val="20"/>
        </w:rPr>
        <w:t> M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ickiewicza 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AU-2/6733/207/2022 o Ustaleniu Lokalizacji Inwestycji Celu Publicznego, z dnia 20.12.2022r.,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Przebudowa i rozbudowa budynku pawilonu D-1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Akademii Górniczo-Hutniczej im. Stanisława Staszica w Krakowie (celem dostosowania do aktualnych przepisów przeciwpożarowych) na działce nr 19/47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 12 Krowodrza przy ul.</w:t>
      </w:r>
      <w:r w:rsidR="001F2543">
        <w:rPr>
          <w:rFonts w:ascii="Verdana" w:eastAsia="Calibri" w:hAnsi="Verdana"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Reymonta 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AU-2/6733/179/2022 o Ustaleniu Lokalizacji Inwestycji Celu Publicznego, z dnia 09.11.2022r., dot. zamierzenia inwestycyjnego pn.: 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Przebudowa i rozbudowa budynku U3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(usługowo-biurowy) Akademii Górniczo-Hutniczej im. Stanisława Staszica w Krakowie o zewnętrzny szyb windowy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lastRenderedPageBreak/>
        <w:t xml:space="preserve">przystosowany do ruchu osób niepełnosprawnych na działce nr 19/47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 12 Krowodrza przy al. Mickiewicza 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AU-2/6733/83/2022 o Ustaleniu Lokalizacji Inwestycji Celu Publicznego, z dnia 27.05.2022r., dot. zamierzenia inwestycyjnego pn.: 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Rozbudowa i</w:t>
      </w:r>
      <w:r w:rsidR="001F2543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przebudowa domu studenckiego DS-10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„HAJDUCZEK”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Akademii Górniczo-Hutniczej im. Stanisława Staszica w Krakowie na działce nr 653/33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 4 Krowodrza przy ulicy W. Budryka w Krakowie w zakresie zabudowy podcieni”;</w:t>
      </w:r>
    </w:p>
    <w:p w:rsidR="00553A3D" w:rsidRPr="004258EE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AU-2/6733/11/2022 o Ustaleniu Lokalizacji Inwestycji Celu Publicznego, z dnia 13.01.2022r., dot. zamierzenia inwestycyjnego pn.: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>Budowa budynku biurowego dla potrzeb ACK Cyfronet AGH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 xml:space="preserve"> wraz z instalacjami wewnętrznymi oraz niezbędną infrastrukturą techniczną (w tym przyłączami do sieci cieplnej, wody, kanalizacji) oraz przebudową i rozbudową sieci kanalizacji ogólnospławnej na działkach nr 863/1, 863/2, 653/37, 653/41 i 771/10 </w:t>
      </w:r>
      <w:proofErr w:type="spellStart"/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. 4 Krowodrza przy ulicy Nawojki/Kawiory</w:t>
      </w:r>
      <w:r w:rsidR="00590F43">
        <w:rPr>
          <w:rFonts w:ascii="Verdana" w:eastAsia="Calibri" w:hAnsi="Verdana"/>
          <w:i/>
          <w:iCs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w Krakowie”;</w:t>
      </w:r>
    </w:p>
    <w:p w:rsidR="004258EE" w:rsidRPr="001F2543" w:rsidRDefault="000A7A66" w:rsidP="004258EE">
      <w:pPr>
        <w:pStyle w:val="Default"/>
        <w:spacing w:after="60"/>
        <w:ind w:left="360"/>
        <w:jc w:val="both"/>
        <w:rPr>
          <w:rFonts w:ascii="Verdana" w:eastAsia="Calibri" w:hAnsi="Verdana"/>
          <w:snapToGrid/>
          <w:color w:val="auto"/>
          <w:sz w:val="20"/>
        </w:rPr>
      </w:pPr>
      <w:r>
        <w:rPr>
          <w:rFonts w:ascii="Verdana" w:hAnsi="Verdana"/>
          <w:color w:val="00B050"/>
          <w:sz w:val="20"/>
          <w:bdr w:val="single" w:sz="4" w:space="0" w:color="auto"/>
        </w:rPr>
        <w:t>3</w:t>
      </w:r>
      <w:bookmarkStart w:id="0" w:name="_GoBack"/>
      <w:bookmarkEnd w:id="0"/>
      <w:r w:rsidR="004258EE" w:rsidRPr="004258EE">
        <w:rPr>
          <w:rFonts w:ascii="Verdana" w:hAnsi="Verdana"/>
          <w:color w:val="00B050"/>
          <w:sz w:val="20"/>
          <w:bdr w:val="single" w:sz="4" w:space="0" w:color="auto"/>
        </w:rPr>
        <w:t>1</w:t>
      </w:r>
      <w:r w:rsidR="004258EE">
        <w:rPr>
          <w:rFonts w:ascii="Verdana" w:hAnsi="Verdana"/>
          <w:color w:val="FF0000"/>
          <w:sz w:val="20"/>
        </w:rPr>
        <w:t xml:space="preserve"> – nie uwzględniono – </w:t>
      </w:r>
      <w:r w:rsidR="004258EE">
        <w:rPr>
          <w:rFonts w:ascii="Verdana" w:hAnsi="Verdana"/>
          <w:color w:val="FF0000"/>
          <w:sz w:val="20"/>
        </w:rPr>
        <w:t>przesunięto linię zabudowy, która nie pozwoliłaby wybudować w tym miejscu budynku o planowanym przeznaczeniu. Budowa posiada, na tym etapie, decyzję o pozwoleniu na budowę.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AU-2/6733/268/2021 o Ustaleniu Lokalizacji Inwestycji Celu Publicznego, z dnia 16.12.2021r., dot. zamierzenia inwestycyjnego pn.:</w:t>
      </w:r>
      <w:r w:rsidR="001F2543">
        <w:rPr>
          <w:rFonts w:ascii="Verdana" w:eastAsia="Calibri" w:hAnsi="Verdana"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Przebudowa i rozbudowa budynku łącznika (przewiązka P-A1-A2)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o</w:t>
      </w:r>
      <w:r w:rsidR="001F2543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zewnętrzny szyb windowy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przystosowany do ruchu osób niepełnosprawnych na działce nr 19/47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 12 Krowodrza przy al. Mickiewicza 30 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AU-2/6733/224/2021 o Ustaleniu Lokalizacji Inwestycji Celu Publicznego, z dnia 21.10.2021r., dot. zamierzenia inwestycyjnego pn</w:t>
      </w:r>
      <w:r w:rsidRPr="001F2543">
        <w:rPr>
          <w:rFonts w:ascii="Verdana" w:eastAsia="Calibri" w:hAnsi="Verdana"/>
          <w:b/>
          <w:snapToGrid/>
          <w:color w:val="auto"/>
          <w:sz w:val="20"/>
        </w:rPr>
        <w:t>.:</w:t>
      </w:r>
      <w:r w:rsidR="001F2543">
        <w:rPr>
          <w:rFonts w:ascii="Verdana" w:eastAsia="Calibri" w:hAnsi="Verdana"/>
          <w:b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 xml:space="preserve">Przebudowa i rozbudowa budynku Domu Studenckiego </w:t>
      </w:r>
      <w:r w:rsidR="00590F43">
        <w:rPr>
          <w:rFonts w:ascii="Verdana" w:eastAsia="Calibri" w:hAnsi="Verdana"/>
          <w:b/>
          <w:i/>
          <w:snapToGrid/>
          <w:color w:val="auto"/>
          <w:sz w:val="20"/>
        </w:rPr>
        <w:t>DS-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7 „Zaścianek”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Akademii Górniczo-Hutniczej im. Stanisława Staszica w Krakowie wraz z zagospodarowaniem terenu przy ul. Rostafińskiego 4 w Krakowie, na działce nr 653/33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 4 Krowodrza”;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AU-2/6733/321/2017 o Ustaleniu Lokalizacji Inwestycji Celu Publicznego, z dnia 17.08.2017r.,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Budowa budynku pomocniczego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dla potrzeb Akademii Górniczo-Hutniczej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im.</w:t>
      </w:r>
      <w:r w:rsidR="001F2543">
        <w:rPr>
          <w:rFonts w:ascii="Verdana" w:eastAsia="Calibri" w:hAnsi="Verdana"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Stanisława Staszica w Krakowie wraz z zagospodarowaniem terenu oraz budowa 4 naziemnych miejsc parkingowych dla samochodów osobowych na działkach nr 653/36, 653/47, 653/40, 653/46 (fragment), 653/33 (fragment)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</w:t>
      </w:r>
      <w:r w:rsidR="00265BC6">
        <w:rPr>
          <w:rFonts w:ascii="Verdana" w:eastAsia="Calibri" w:hAnsi="Verdana"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4, jedn.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ewid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 Krowodrza przy ul. Budryka w Krakowie”;</w:t>
      </w:r>
    </w:p>
    <w:p w:rsidR="00553A3D" w:rsidRPr="004258EE" w:rsidRDefault="00553A3D" w:rsidP="00553A3D">
      <w:pPr>
        <w:pStyle w:val="Default"/>
        <w:numPr>
          <w:ilvl w:val="0"/>
          <w:numId w:val="19"/>
        </w:numPr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AU-2/7331/868/08 o Ustaleniu Lokalizacji Inwestycji Celu Publicznego, z dnia 07.03.2008r.,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Budowa Audytorium Maximum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wraz z budynkiem administracyjno-dydaktyczno-biurowym, parkingiem podziemnym oraz infrastruktura techniczna przy ul. Czarnowiejskiej w Krakowie” – dz. nr 19/25, 19/26, 19/23, 29/2, 29/3, 48/2, 48/3, 49/1, 49/2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 12 Krowodrza;</w:t>
      </w:r>
    </w:p>
    <w:p w:rsidR="004258EE" w:rsidRPr="001F2543" w:rsidRDefault="004258EE" w:rsidP="009812C6">
      <w:pPr>
        <w:pStyle w:val="Default"/>
        <w:spacing w:after="60"/>
        <w:ind w:left="360"/>
        <w:jc w:val="both"/>
        <w:rPr>
          <w:rFonts w:ascii="Verdana" w:eastAsia="Calibri" w:hAnsi="Verdana"/>
          <w:snapToGrid/>
          <w:color w:val="auto"/>
          <w:sz w:val="20"/>
        </w:rPr>
      </w:pPr>
      <w:r w:rsidRPr="004258EE">
        <w:rPr>
          <w:rFonts w:ascii="Verdana" w:hAnsi="Verdana"/>
          <w:color w:val="00B0F0"/>
          <w:sz w:val="20"/>
          <w:bdr w:val="single" w:sz="4" w:space="0" w:color="auto"/>
        </w:rPr>
        <w:t>5</w:t>
      </w:r>
      <w:r>
        <w:rPr>
          <w:rFonts w:ascii="Verdana" w:hAnsi="Verdana"/>
          <w:color w:val="FF0000"/>
          <w:sz w:val="20"/>
        </w:rPr>
        <w:t xml:space="preserve"> – nie uwzględniono – </w:t>
      </w:r>
      <w:r>
        <w:rPr>
          <w:rFonts w:ascii="Verdana" w:hAnsi="Verdana"/>
          <w:color w:val="FF0000"/>
          <w:sz w:val="20"/>
        </w:rPr>
        <w:t>wyznaczono teren zieleni urządzonej 7ZP</w:t>
      </w:r>
    </w:p>
    <w:p w:rsidR="004258EE" w:rsidRPr="001F2543" w:rsidRDefault="004258EE" w:rsidP="009812C6">
      <w:pPr>
        <w:pStyle w:val="Default"/>
        <w:ind w:left="360"/>
        <w:jc w:val="both"/>
        <w:rPr>
          <w:rFonts w:ascii="Verdana" w:eastAsia="Calibri" w:hAnsi="Verdana"/>
          <w:snapToGrid/>
          <w:color w:val="auto"/>
          <w:sz w:val="20"/>
        </w:rPr>
      </w:pP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265BC6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Wniosek dotyczy także nie skonsumowanych decyzji o pozwoleniach na budowę, które z przyczyn obiektywnych mogą wymagać uzyskania pozwoleń zamiennych, co z kolei wymaga zapewnienia ich zgodności z MPZP w przyszłości. Decyzje te zabezpieczają usankcjonowany w nich potencjał inwestycyjny, jednak w kontekście zmian w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przepisach odrębnych, wprowadzanych w czasie długotrwałych procesów inwestycyjnych, mogą wymagać aktualizacji a równolegle zgodności z MPZP.</w:t>
      </w:r>
    </w:p>
    <w:p w:rsidR="00553A3D" w:rsidRPr="001F2543" w:rsidRDefault="00553A3D" w:rsidP="00553A3D">
      <w:pPr>
        <w:ind w:left="360"/>
        <w:jc w:val="both"/>
        <w:rPr>
          <w:rFonts w:ascii="Verdana" w:hAnsi="Verdana"/>
          <w:sz w:val="20"/>
          <w:szCs w:val="20"/>
        </w:rPr>
      </w:pPr>
    </w:p>
    <w:p w:rsidR="00553A3D" w:rsidRPr="008D15DC" w:rsidRDefault="00553A3D" w:rsidP="00553A3D">
      <w:pPr>
        <w:pStyle w:val="Default"/>
        <w:spacing w:after="60"/>
        <w:jc w:val="both"/>
        <w:rPr>
          <w:rFonts w:ascii="Verdana" w:eastAsia="Calibri" w:hAnsi="Verdana"/>
          <w:b/>
          <w:snapToGrid/>
          <w:color w:val="auto"/>
          <w:sz w:val="20"/>
        </w:rPr>
      </w:pPr>
      <w:r w:rsidRPr="008D15DC">
        <w:rPr>
          <w:rFonts w:ascii="Verdana" w:eastAsia="Calibri" w:hAnsi="Verdana"/>
          <w:b/>
          <w:snapToGrid/>
          <w:color w:val="auto"/>
          <w:sz w:val="20"/>
        </w:rPr>
        <w:t>POZWOLENIA NA BUDOWĘ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lastRenderedPageBreak/>
        <w:t xml:space="preserve">Decyzja nr 983/6740.1/2023 z dnia 25.08.2023r.,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Budowa stacji ładowania samochodów elektrycznych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wraz z</w:t>
      </w:r>
      <w:r w:rsidR="001F2543">
        <w:rPr>
          <w:rFonts w:ascii="Verdana" w:eastAsia="Calibri" w:hAnsi="Verdana"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przebudową instalacji niskiego i średniego napięcia oraz oświetlenia terenu pomiędzy paw. A-0 i A-1 na działce nr 19/47 obręb 12 jedn.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ewid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>. Krowodrza, przy al. Adama Mickiewicza 30 w Krakowie”;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237/6740.2/2023 z dnia 04.05.2023r., dot. zamierzenia inwestycyjnego pn</w:t>
      </w:r>
      <w:r w:rsidRPr="001F2543">
        <w:rPr>
          <w:rFonts w:ascii="Verdana" w:eastAsia="Calibri" w:hAnsi="Verdana"/>
          <w:b/>
          <w:bCs/>
          <w:snapToGrid/>
          <w:color w:val="auto"/>
          <w:sz w:val="20"/>
        </w:rPr>
        <w:t xml:space="preserve">.: 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>„Przebudowa</w:t>
      </w:r>
      <w:r w:rsid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>i rozbudowa budynku U-3 o zewnętrzny szyb windowy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 xml:space="preserve"> przystosowany do ruchu osób o specjalnych potrzebach na działce nr 19/47 </w:t>
      </w:r>
      <w:proofErr w:type="spellStart"/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obr</w:t>
      </w:r>
      <w:proofErr w:type="spellEnd"/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.</w:t>
      </w:r>
      <w:r w:rsidR="001F2543">
        <w:rPr>
          <w:rFonts w:ascii="Verdana" w:eastAsia="Calibri" w:hAnsi="Verdana"/>
          <w:i/>
          <w:iCs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 xml:space="preserve">12 j. </w:t>
      </w:r>
      <w:proofErr w:type="spellStart"/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ewid</w:t>
      </w:r>
      <w:proofErr w:type="spellEnd"/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. Krowodrza,</w:t>
      </w:r>
      <w:r w:rsidR="00590F43">
        <w:rPr>
          <w:rFonts w:ascii="Verdana" w:eastAsia="Calibri" w:hAnsi="Verdana"/>
          <w:i/>
          <w:iCs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Kraków, ul. Akademicka 5”;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191/6740.2/2023 z dnia 05.04.2023r., dot. zamierzenia inwestycyjnego pn</w:t>
      </w:r>
      <w:r w:rsidRPr="001F2543">
        <w:rPr>
          <w:rFonts w:ascii="Verdana" w:eastAsia="Calibri" w:hAnsi="Verdana"/>
          <w:b/>
          <w:snapToGrid/>
          <w:color w:val="auto"/>
          <w:sz w:val="20"/>
        </w:rPr>
        <w:t xml:space="preserve">.: 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„Przebudowa w ramach dostosowania budynku C-4 AGH w Krakowie do aktualnych przepisów przeciwpożarowych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. Wykonanie nowych stref pożarowych w związku z projektem windy dla osób niepełnosprawnych”;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151/6740.2/2023 z dnia 20.03.2023r., dot. zamierzenia inwestycyjnego pn.: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>Przebudowa, nadbudowa i rozbudowa pawilonu D-1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 xml:space="preserve"> Akademia Górniczo-Hutniczej im. Stanisława Staszica w Krakowie”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1196-6740.1-2021 z dnia 01.10.2021r.,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Budowa budynku stacji transformatorowej z</w:t>
      </w:r>
      <w:r w:rsidR="00265BC6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pomieszczeniem rozdzielni nN i budynku agregatu prądotwórczego z</w:t>
      </w:r>
      <w:r w:rsidR="00265BC6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pomieszczeniem gospodarczym oraz przebudowa pomieszczeń w</w:t>
      </w:r>
      <w:r w:rsidR="00265BC6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pawilonie B-5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: rozdzielni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sN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, rozdzielni nN, węzła co, pomieszczenia technicznego wraz z przebudową instalacji wewnętrznych: elektrycznych, c.o. oraz budową i przebudową: kanalizacji ogólnospławnej w zakresie przyłącza rur spustowych i odwodnienia nawierzchni utwardzonej,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przyłacza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co oraz budowa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przyłacza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kablowego nN z budową studzienek kablowych i przebudową przyłącza elektrycznego </w:t>
      </w:r>
      <w:proofErr w:type="spellStart"/>
      <w:r w:rsidRPr="001F2543">
        <w:rPr>
          <w:rFonts w:ascii="Verdana" w:eastAsia="Calibri" w:hAnsi="Verdana"/>
          <w:i/>
          <w:snapToGrid/>
          <w:color w:val="auto"/>
          <w:sz w:val="20"/>
        </w:rPr>
        <w:t>śN</w:t>
      </w:r>
      <w:proofErr w:type="spellEnd"/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na terenie AGH”;</w:t>
      </w:r>
    </w:p>
    <w:p w:rsidR="00553A3D" w:rsidRPr="004258EE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hAnsi="Verdana"/>
          <w:sz w:val="20"/>
        </w:rPr>
        <w:t xml:space="preserve">Decyzja nr 533/6740.2/2021 z dnia 29.09.2021r. (zamienna decyzja pozwolenia na budowę nr 254/6740.2/2018 z dnia 6.03.2018r.), dot. zamierzenia inwestycyjnego pn.: </w:t>
      </w:r>
      <w:r w:rsidRPr="001F2543">
        <w:rPr>
          <w:rFonts w:ascii="Verdana" w:hAnsi="Verdana"/>
          <w:i/>
          <w:sz w:val="20"/>
        </w:rPr>
        <w:t>„</w:t>
      </w:r>
      <w:r w:rsidRPr="001F2543">
        <w:rPr>
          <w:rFonts w:ascii="Verdana" w:hAnsi="Verdana"/>
          <w:b/>
          <w:i/>
          <w:sz w:val="20"/>
        </w:rPr>
        <w:t xml:space="preserve">Rozbudowa i nadbudowa budynku S-1 </w:t>
      </w:r>
      <w:r w:rsidRPr="001F2543">
        <w:rPr>
          <w:rFonts w:ascii="Verdana" w:hAnsi="Verdana"/>
          <w:i/>
          <w:sz w:val="20"/>
        </w:rPr>
        <w:t>wraz z</w:t>
      </w:r>
      <w:r w:rsidR="00265BC6">
        <w:rPr>
          <w:rFonts w:ascii="Verdana" w:hAnsi="Verdana"/>
          <w:i/>
          <w:sz w:val="20"/>
        </w:rPr>
        <w:t> </w:t>
      </w:r>
      <w:r w:rsidRPr="001F2543">
        <w:rPr>
          <w:rFonts w:ascii="Verdana" w:hAnsi="Verdana"/>
          <w:i/>
          <w:sz w:val="20"/>
        </w:rPr>
        <w:t>infrastrukturą wewnętrzną obejmująca instalacje: elektryczną, sanitarną (wentylacja mechaniczna, klimatyzacja, instalacje grzewcze, instalacje widne, instalacje kanalizacji opadowej, sanitarnej i technicznej), gazów technicznych i</w:t>
      </w:r>
      <w:r w:rsidR="00265BC6">
        <w:rPr>
          <w:rFonts w:ascii="Verdana" w:hAnsi="Verdana"/>
          <w:i/>
          <w:sz w:val="20"/>
        </w:rPr>
        <w:t> </w:t>
      </w:r>
      <w:r w:rsidRPr="001F2543">
        <w:rPr>
          <w:rFonts w:ascii="Verdana" w:hAnsi="Verdana"/>
          <w:i/>
          <w:sz w:val="20"/>
        </w:rPr>
        <w:t xml:space="preserve">zewnętrzna obejmująca kanalizacji kablowej elektrycznej </w:t>
      </w:r>
      <w:proofErr w:type="spellStart"/>
      <w:r w:rsidRPr="001F2543">
        <w:rPr>
          <w:rFonts w:ascii="Verdana" w:hAnsi="Verdana"/>
          <w:i/>
          <w:sz w:val="20"/>
        </w:rPr>
        <w:t>sN</w:t>
      </w:r>
      <w:proofErr w:type="spellEnd"/>
      <w:r w:rsidRPr="001F2543">
        <w:rPr>
          <w:rFonts w:ascii="Verdana" w:hAnsi="Verdana"/>
          <w:i/>
          <w:sz w:val="20"/>
        </w:rPr>
        <w:t xml:space="preserve"> i nN, kanalizacji kablowej technicznej, wodociągowej, kanalizacji opadowej z retencją, sanitarnej i</w:t>
      </w:r>
      <w:r w:rsidR="00265BC6">
        <w:rPr>
          <w:rFonts w:ascii="Verdana" w:hAnsi="Verdana"/>
          <w:i/>
          <w:sz w:val="20"/>
        </w:rPr>
        <w:t> </w:t>
      </w:r>
      <w:r w:rsidRPr="001F2543">
        <w:rPr>
          <w:rFonts w:ascii="Verdana" w:hAnsi="Verdana"/>
          <w:i/>
          <w:sz w:val="20"/>
        </w:rPr>
        <w:t>ogólnospławnej, gazowej i pomp ciepła oraz przebudową sieci ciep</w:t>
      </w:r>
      <w:r w:rsidR="00265BC6">
        <w:rPr>
          <w:rFonts w:ascii="Verdana" w:hAnsi="Verdana"/>
          <w:i/>
          <w:sz w:val="20"/>
        </w:rPr>
        <w:t>łowniczej i </w:t>
      </w:r>
      <w:r w:rsidRPr="001F2543">
        <w:rPr>
          <w:rFonts w:ascii="Verdana" w:hAnsi="Verdana"/>
          <w:i/>
          <w:sz w:val="20"/>
        </w:rPr>
        <w:t xml:space="preserve">przyłącza gazu kolidujących z inwestycją ul. Wł. Reymonta na dz. nr 19/47 obr.12 </w:t>
      </w:r>
      <w:proofErr w:type="spellStart"/>
      <w:r w:rsidRPr="001F2543">
        <w:rPr>
          <w:rFonts w:ascii="Verdana" w:hAnsi="Verdana"/>
          <w:i/>
          <w:sz w:val="20"/>
        </w:rPr>
        <w:t>j.ewid</w:t>
      </w:r>
      <w:proofErr w:type="spellEnd"/>
      <w:r w:rsidRPr="001F2543">
        <w:rPr>
          <w:rFonts w:ascii="Verdana" w:hAnsi="Verdana"/>
          <w:i/>
          <w:sz w:val="20"/>
        </w:rPr>
        <w:t>. Krowodrza”;</w:t>
      </w:r>
    </w:p>
    <w:p w:rsidR="004258EE" w:rsidRPr="001F2543" w:rsidRDefault="00294B35" w:rsidP="004258EE">
      <w:pPr>
        <w:pStyle w:val="Default"/>
        <w:spacing w:after="60"/>
        <w:ind w:left="360"/>
        <w:jc w:val="both"/>
        <w:rPr>
          <w:rFonts w:ascii="Verdana" w:eastAsia="Calibri" w:hAnsi="Verdana"/>
          <w:snapToGrid/>
          <w:color w:val="auto"/>
          <w:sz w:val="20"/>
        </w:rPr>
      </w:pPr>
      <w:r>
        <w:rPr>
          <w:rFonts w:ascii="Verdana" w:hAnsi="Verdana"/>
          <w:color w:val="00B050"/>
          <w:sz w:val="20"/>
          <w:bdr w:val="single" w:sz="4" w:space="0" w:color="auto"/>
        </w:rPr>
        <w:t>3</w:t>
      </w:r>
      <w:r w:rsidR="004258EE">
        <w:rPr>
          <w:rFonts w:ascii="Verdana" w:hAnsi="Verdana"/>
          <w:color w:val="00B050"/>
          <w:sz w:val="20"/>
          <w:bdr w:val="single" w:sz="4" w:space="0" w:color="auto"/>
        </w:rPr>
        <w:t>2</w:t>
      </w:r>
      <w:r w:rsidR="004258EE">
        <w:rPr>
          <w:rFonts w:ascii="Verdana" w:hAnsi="Verdana"/>
          <w:color w:val="FF0000"/>
          <w:sz w:val="20"/>
        </w:rPr>
        <w:t xml:space="preserve"> – nie uwzględniono – przesunięto linię zabudowy, która nie pozwoliłaby wybudować w tym miejscu </w:t>
      </w:r>
      <w:r w:rsidR="004258EE">
        <w:rPr>
          <w:rFonts w:ascii="Verdana" w:hAnsi="Verdana"/>
          <w:color w:val="FF0000"/>
          <w:sz w:val="20"/>
        </w:rPr>
        <w:t xml:space="preserve">skrzydła zachodniego </w:t>
      </w:r>
      <w:r w:rsidR="004258EE">
        <w:rPr>
          <w:rFonts w:ascii="Verdana" w:hAnsi="Verdana"/>
          <w:color w:val="FF0000"/>
          <w:sz w:val="20"/>
        </w:rPr>
        <w:t>budynku</w:t>
      </w:r>
      <w:r w:rsidR="009812C6">
        <w:rPr>
          <w:rFonts w:ascii="Verdana" w:hAnsi="Verdana"/>
          <w:color w:val="FF0000"/>
          <w:sz w:val="20"/>
        </w:rPr>
        <w:t>. Skrzydło zachodnie</w:t>
      </w:r>
      <w:r w:rsidR="004258EE">
        <w:rPr>
          <w:rFonts w:ascii="Verdana" w:hAnsi="Verdana"/>
          <w:color w:val="FF0000"/>
          <w:sz w:val="20"/>
        </w:rPr>
        <w:t xml:space="preserve">, na tym etapie, </w:t>
      </w:r>
      <w:r w:rsidR="004258EE">
        <w:rPr>
          <w:rFonts w:ascii="Verdana" w:hAnsi="Verdana"/>
          <w:color w:val="FF0000"/>
          <w:sz w:val="20"/>
        </w:rPr>
        <w:t>ma już decyzję pozwolenia na użytkowanie</w:t>
      </w:r>
      <w:r w:rsidR="009812C6">
        <w:rPr>
          <w:rFonts w:ascii="Verdana" w:hAnsi="Verdana"/>
          <w:color w:val="FF0000"/>
          <w:sz w:val="20"/>
        </w:rPr>
        <w:t xml:space="preserve">. Przesunięta linia </w:t>
      </w:r>
      <w:r w:rsidR="004258EE">
        <w:rPr>
          <w:rFonts w:ascii="Verdana" w:hAnsi="Verdana"/>
          <w:color w:val="FF0000"/>
          <w:sz w:val="20"/>
        </w:rPr>
        <w:t>nie pozwoliłaby</w:t>
      </w:r>
      <w:r w:rsidR="009812C6">
        <w:rPr>
          <w:rFonts w:ascii="Verdana" w:hAnsi="Verdana"/>
          <w:color w:val="FF0000"/>
          <w:sz w:val="20"/>
        </w:rPr>
        <w:t xml:space="preserve"> również </w:t>
      </w:r>
      <w:r w:rsidR="004258EE">
        <w:rPr>
          <w:rFonts w:ascii="Verdana" w:hAnsi="Verdana"/>
          <w:color w:val="FF0000"/>
          <w:sz w:val="20"/>
        </w:rPr>
        <w:t>rozbudować centralnej części budynku S-1 w stronę północn</w:t>
      </w:r>
      <w:r w:rsidR="009812C6">
        <w:rPr>
          <w:rFonts w:ascii="Verdana" w:hAnsi="Verdana"/>
          <w:color w:val="FF0000"/>
          <w:sz w:val="20"/>
        </w:rPr>
        <w:t>ą w momencie gdy ta rozbudową jest w trakcie realizacji.</w:t>
      </w:r>
      <w:r w:rsidR="004258EE">
        <w:rPr>
          <w:rFonts w:ascii="Verdana" w:hAnsi="Verdana"/>
          <w:color w:val="FF0000"/>
          <w:sz w:val="20"/>
        </w:rPr>
        <w:t xml:space="preserve"> </w:t>
      </w:r>
    </w:p>
    <w:p w:rsidR="004258EE" w:rsidRPr="001F2543" w:rsidRDefault="004258EE" w:rsidP="004258EE">
      <w:pPr>
        <w:pStyle w:val="Default"/>
        <w:spacing w:after="60"/>
        <w:ind w:left="360"/>
        <w:jc w:val="both"/>
        <w:rPr>
          <w:rFonts w:ascii="Verdana" w:eastAsia="Calibri" w:hAnsi="Verdana"/>
          <w:snapToGrid/>
          <w:color w:val="auto"/>
          <w:sz w:val="20"/>
        </w:rPr>
      </w:pP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265BC6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</w:p>
    <w:p w:rsidR="00553A3D" w:rsidRPr="001F2543" w:rsidRDefault="00553A3D" w:rsidP="00265BC6">
      <w:pPr>
        <w:pStyle w:val="Tekstpodstawowywcity"/>
        <w:ind w:left="0"/>
        <w:jc w:val="both"/>
        <w:rPr>
          <w:rFonts w:ascii="Verdana" w:hAnsi="Verdana"/>
          <w:szCs w:val="20"/>
        </w:rPr>
      </w:pPr>
      <w:r w:rsidRPr="001F2543">
        <w:rPr>
          <w:rFonts w:ascii="Verdana" w:hAnsi="Verdana"/>
          <w:szCs w:val="20"/>
        </w:rPr>
        <w:t>Inwestycje, których dotyczą przedmiotowe decyzje lokalizacyjne, są elementami globalnego wieloletniego planu, również finansowego, dla których decyzje lokalizacyjne są tylko jednym z etapów na drodze do ich realizacji. Zmiana dopuszczalnych parametrów w trakcie realizacji szerszych planów inwestycyjnych mogłaby oznaczać konsekwencje czasowe i finansowe powodowane koniecznością wprowadzania korekt, mieć wpływ na prowadzone i planowane postępowania przetargowe, harmonogram budżetowy lub całkowicie dyskwalifikować niektóre inwestycje, niezależnie od stopnia zaawansowania prac i poniesionych nakładów.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Uwzględnienie w zapisach i parametrach MPZP, następujących planów inwestycyjnych AGH: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Budowa Audytorium w kwartale pomiędzy pawilonami C-4, C-7, U-1 (ulica Czarnowiejska)</w:t>
      </w:r>
      <w:r w:rsidR="00265BC6">
        <w:rPr>
          <w:rFonts w:ascii="Verdana" w:hAnsi="Verdana"/>
          <w:sz w:val="20"/>
          <w:szCs w:val="20"/>
        </w:rPr>
        <w:t>;</w:t>
      </w:r>
      <w:r w:rsidRPr="001F2543">
        <w:rPr>
          <w:rFonts w:ascii="Verdana" w:hAnsi="Verdana"/>
          <w:sz w:val="20"/>
          <w:szCs w:val="20"/>
        </w:rPr>
        <w:t xml:space="preserve"> </w:t>
      </w:r>
    </w:p>
    <w:p w:rsidR="00E678D3" w:rsidRDefault="00E678D3" w:rsidP="00E678D3">
      <w:pPr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E678D3">
        <w:rPr>
          <w:rFonts w:ascii="Verdana" w:hAnsi="Verdana"/>
          <w:color w:val="0070C0"/>
          <w:sz w:val="20"/>
          <w:szCs w:val="20"/>
          <w:bdr w:val="single" w:sz="4" w:space="0" w:color="auto"/>
        </w:rPr>
        <w:t>5</w:t>
      </w:r>
      <w:r>
        <w:rPr>
          <w:rFonts w:ascii="Verdana" w:hAnsi="Verdana"/>
          <w:color w:val="FF0000"/>
          <w:sz w:val="20"/>
          <w:szCs w:val="20"/>
        </w:rPr>
        <w:t xml:space="preserve"> – nie uwzględniono – Wyznaczono teren 7ZP, teren zieleni urządzonej </w:t>
      </w:r>
    </w:p>
    <w:p w:rsidR="00E678D3" w:rsidRPr="00E678D3" w:rsidRDefault="00E678D3" w:rsidP="00E678D3">
      <w:pPr>
        <w:jc w:val="both"/>
        <w:rPr>
          <w:rFonts w:ascii="Verdana" w:hAnsi="Verdana"/>
          <w:color w:val="FF0000"/>
          <w:sz w:val="20"/>
          <w:szCs w:val="20"/>
        </w:rPr>
      </w:pP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Zabudowa uzupełniająca w kwartale pawilonów A-3, A-4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1F2543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Kompleks budynków „E” w terenie pomiędzy ulicą Akademicką, Akademicką Boczną, Miechowską i Czarnowiejską, na terenie obecnych parkingów</w:t>
      </w:r>
      <w:r w:rsidR="00265BC6">
        <w:rPr>
          <w:rFonts w:ascii="Verdana" w:hAnsi="Verdana"/>
          <w:sz w:val="20"/>
          <w:szCs w:val="20"/>
        </w:rPr>
        <w:t>;</w:t>
      </w:r>
      <w:r w:rsidRPr="001F2543">
        <w:rPr>
          <w:rFonts w:ascii="Verdana" w:hAnsi="Verdana"/>
          <w:sz w:val="20"/>
          <w:szCs w:val="20"/>
        </w:rPr>
        <w:t xml:space="preserve"> </w:t>
      </w:r>
    </w:p>
    <w:p w:rsidR="00553A3D" w:rsidRDefault="00553A3D" w:rsidP="009812C6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Budowa parkingu wielopoziomowego w nar</w:t>
      </w:r>
      <w:r w:rsidR="00265BC6">
        <w:rPr>
          <w:rFonts w:ascii="Verdana" w:hAnsi="Verdana"/>
          <w:sz w:val="20"/>
          <w:szCs w:val="20"/>
        </w:rPr>
        <w:t>ożniku u zbiegu ulic Reymonta i </w:t>
      </w:r>
      <w:r w:rsidRPr="001F2543">
        <w:rPr>
          <w:rFonts w:ascii="Verdana" w:hAnsi="Verdana"/>
          <w:sz w:val="20"/>
          <w:szCs w:val="20"/>
        </w:rPr>
        <w:t>Miechowskiej</w:t>
      </w:r>
      <w:r w:rsidR="00265BC6">
        <w:rPr>
          <w:rFonts w:ascii="Verdana" w:hAnsi="Verdana"/>
          <w:sz w:val="20"/>
          <w:szCs w:val="20"/>
        </w:rPr>
        <w:t>;</w:t>
      </w:r>
    </w:p>
    <w:p w:rsidR="008F0AB0" w:rsidRPr="008F0AB0" w:rsidRDefault="008F0AB0" w:rsidP="008F0AB0">
      <w:pPr>
        <w:pStyle w:val="Akapitzlist"/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8F0AB0">
        <w:rPr>
          <w:rFonts w:ascii="Verdana" w:hAnsi="Verdana"/>
          <w:color w:val="FF0000"/>
          <w:sz w:val="20"/>
          <w:szCs w:val="20"/>
          <w:bdr w:val="single" w:sz="4" w:space="0" w:color="auto"/>
        </w:rPr>
        <w:t>1</w:t>
      </w:r>
      <w:r w:rsidR="009812C6">
        <w:rPr>
          <w:rFonts w:ascii="Verdana" w:hAnsi="Verdana"/>
          <w:color w:val="FF0000"/>
          <w:sz w:val="20"/>
          <w:szCs w:val="20"/>
          <w:bdr w:val="single" w:sz="4" w:space="0" w:color="auto"/>
        </w:rPr>
        <w:t>4</w:t>
      </w:r>
      <w:r w:rsidRPr="008F0AB0">
        <w:rPr>
          <w:rFonts w:ascii="Verdana" w:hAnsi="Verdana"/>
          <w:color w:val="FF0000"/>
          <w:sz w:val="20"/>
          <w:szCs w:val="20"/>
        </w:rPr>
        <w:t xml:space="preserve"> </w:t>
      </w:r>
      <w:r w:rsidR="00294B35">
        <w:rPr>
          <w:rFonts w:ascii="Verdana" w:hAnsi="Verdana"/>
          <w:color w:val="FF0000"/>
          <w:sz w:val="20"/>
          <w:szCs w:val="20"/>
        </w:rPr>
        <w:t xml:space="preserve">przyjęto linię zabudowy ograniczającą możliwość zbliżenia się z budowlą do ulicy Reymonta  </w:t>
      </w:r>
    </w:p>
    <w:p w:rsidR="008F0AB0" w:rsidRDefault="008F0AB0" w:rsidP="008F0AB0">
      <w:pPr>
        <w:ind w:left="360"/>
        <w:jc w:val="both"/>
        <w:rPr>
          <w:rFonts w:ascii="Verdana" w:hAnsi="Verdana"/>
          <w:sz w:val="20"/>
          <w:szCs w:val="20"/>
        </w:rPr>
      </w:pP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Zabudowa działek pomiędzy ulicą Miechowską a Pawilonem D-10, na potrzeby infrastruktury związanej z obsługą systemu wypożyczania rowerów na Uczelni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Zabudowa kubaturowa części parkingu przy Wydziale Fizyki (pawilon D-10) od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strony ulicy Reymonta</w:t>
      </w:r>
      <w:r w:rsidR="00265BC6">
        <w:rPr>
          <w:rFonts w:ascii="Verdana" w:hAnsi="Verdana"/>
          <w:sz w:val="20"/>
          <w:szCs w:val="20"/>
        </w:rPr>
        <w:t>;</w:t>
      </w:r>
    </w:p>
    <w:p w:rsidR="00294B35" w:rsidRPr="008F0AB0" w:rsidRDefault="00294B35" w:rsidP="00294B35">
      <w:pPr>
        <w:pStyle w:val="Akapitzlist"/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8F0AB0">
        <w:rPr>
          <w:rFonts w:ascii="Verdana" w:hAnsi="Verdana"/>
          <w:color w:val="FF0000"/>
          <w:sz w:val="20"/>
          <w:szCs w:val="20"/>
          <w:bdr w:val="single" w:sz="4" w:space="0" w:color="auto"/>
        </w:rPr>
        <w:t>1</w:t>
      </w:r>
      <w:r>
        <w:rPr>
          <w:rFonts w:ascii="Verdana" w:hAnsi="Verdana"/>
          <w:color w:val="FF0000"/>
          <w:sz w:val="20"/>
          <w:szCs w:val="20"/>
          <w:bdr w:val="single" w:sz="4" w:space="0" w:color="auto"/>
        </w:rPr>
        <w:t>3</w:t>
      </w:r>
      <w:r w:rsidRPr="008F0AB0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przyjęto linię zabudowy ograniczającą możliwość zbliżenia się z budowlą do ulicy Reymonta  </w:t>
      </w:r>
    </w:p>
    <w:p w:rsidR="008F0AB0" w:rsidRPr="001F2543" w:rsidRDefault="008F0AB0" w:rsidP="008F0AB0">
      <w:pPr>
        <w:jc w:val="both"/>
        <w:rPr>
          <w:rFonts w:ascii="Verdana" w:hAnsi="Verdana"/>
          <w:sz w:val="20"/>
          <w:szCs w:val="20"/>
        </w:rPr>
      </w:pP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Rozbudowa zespołu budynków Cyfronet, rejon ulic Bydgoskiej, Kawiory, Budryka, </w:t>
      </w:r>
      <w:r w:rsidRPr="00265BC6">
        <w:rPr>
          <w:rFonts w:ascii="Verdana" w:hAnsi="Verdana"/>
          <w:sz w:val="20"/>
          <w:szCs w:val="20"/>
        </w:rPr>
        <w:t>Nawojki</w:t>
      </w:r>
      <w:r w:rsidR="00265BC6">
        <w:rPr>
          <w:rFonts w:ascii="Verdana" w:hAnsi="Verdana"/>
          <w:sz w:val="20"/>
          <w:szCs w:val="20"/>
        </w:rPr>
        <w:t>;</w:t>
      </w:r>
    </w:p>
    <w:p w:rsidR="008F0AB0" w:rsidRDefault="00294B35" w:rsidP="008F0AB0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  <w:bdr w:val="single" w:sz="4" w:space="0" w:color="auto"/>
        </w:rPr>
        <w:t>3</w:t>
      </w:r>
      <w:r w:rsidR="008F0AB0" w:rsidRPr="008F0AB0">
        <w:rPr>
          <w:rFonts w:ascii="Verdana" w:hAnsi="Verdana"/>
          <w:color w:val="00B050"/>
          <w:sz w:val="20"/>
          <w:szCs w:val="20"/>
          <w:bdr w:val="single" w:sz="4" w:space="0" w:color="auto"/>
        </w:rPr>
        <w:t>1</w:t>
      </w:r>
      <w:r w:rsidR="008F0AB0" w:rsidRPr="008F0AB0">
        <w:rPr>
          <w:rFonts w:ascii="Verdana" w:hAnsi="Verdana"/>
          <w:color w:val="FF0000"/>
          <w:sz w:val="20"/>
          <w:szCs w:val="20"/>
        </w:rPr>
        <w:t xml:space="preserve"> </w:t>
      </w:r>
      <w:r w:rsidR="008F0AB0">
        <w:rPr>
          <w:rFonts w:ascii="Verdana" w:hAnsi="Verdana"/>
          <w:color w:val="FF0000"/>
          <w:sz w:val="20"/>
          <w:szCs w:val="20"/>
        </w:rPr>
        <w:t>nie uwzględniono decyzji ULICP i decyzji pozwolenia na budowę. Linię zabudowy wyznaczono w taki sposób, że blokuje jakąkolwiek inwestycję kubaturową na potrzeby Cyfronet</w:t>
      </w:r>
    </w:p>
    <w:p w:rsidR="008F0AB0" w:rsidRPr="00265BC6" w:rsidRDefault="008F0AB0" w:rsidP="008F0AB0">
      <w:pPr>
        <w:jc w:val="both"/>
        <w:rPr>
          <w:rFonts w:ascii="Verdana" w:hAnsi="Verdana"/>
          <w:sz w:val="20"/>
          <w:szCs w:val="20"/>
        </w:rPr>
      </w:pP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 budynku z funkcjami handlowymi o wysokości 16 kondygnacji nadziemnych, na terenie Miasteczka Studenckiego w miejscu wyburzonego pawilonu U-8 „Lewiatan”, rejon ul. Budryka – ul. Nawojki</w:t>
      </w:r>
      <w:r w:rsidR="00265BC6">
        <w:rPr>
          <w:rFonts w:ascii="Verdana" w:hAnsi="Verdana"/>
          <w:sz w:val="20"/>
          <w:szCs w:val="20"/>
        </w:rPr>
        <w:t>;</w:t>
      </w:r>
    </w:p>
    <w:p w:rsidR="008F0AB0" w:rsidRPr="008F0AB0" w:rsidRDefault="008F0AB0" w:rsidP="008F0AB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8F0AB0">
        <w:rPr>
          <w:rFonts w:ascii="Verdana" w:hAnsi="Verdana"/>
          <w:color w:val="FF0000"/>
          <w:sz w:val="20"/>
          <w:szCs w:val="20"/>
          <w:bdr w:val="single" w:sz="4" w:space="0" w:color="auto"/>
        </w:rPr>
        <w:t>10</w:t>
      </w:r>
      <w:r w:rsidRPr="008F0AB0">
        <w:rPr>
          <w:rFonts w:ascii="Verdana" w:hAnsi="Verdana"/>
          <w:color w:val="FF0000"/>
          <w:sz w:val="20"/>
          <w:szCs w:val="20"/>
        </w:rPr>
        <w:t xml:space="preserve"> nie uwzględniono </w:t>
      </w:r>
      <w:r>
        <w:rPr>
          <w:rFonts w:ascii="Verdana" w:hAnsi="Verdana"/>
          <w:color w:val="FF0000"/>
          <w:sz w:val="20"/>
          <w:szCs w:val="20"/>
        </w:rPr>
        <w:t>wnioskowanej wysokości 55 metrów dla nowego akademika, co zupełnie blokuje priorytetowe, w skali kraju, działania związane z budową domów studenckich.</w:t>
      </w:r>
    </w:p>
    <w:p w:rsidR="008F0AB0" w:rsidRPr="00265BC6" w:rsidRDefault="008F0AB0" w:rsidP="008F0AB0">
      <w:pPr>
        <w:ind w:left="360"/>
        <w:jc w:val="both"/>
        <w:rPr>
          <w:rFonts w:ascii="Verdana" w:hAnsi="Verdana"/>
          <w:sz w:val="20"/>
          <w:szCs w:val="20"/>
        </w:rPr>
      </w:pP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 budynku handlowo – usługowo – mieszkaniowego 5-cio kondygnacyjnego w południowo -</w:t>
      </w:r>
      <w:r w:rsidR="00265BC6">
        <w:rPr>
          <w:rFonts w:ascii="Verdana" w:hAnsi="Verdana"/>
          <w:sz w:val="20"/>
          <w:szCs w:val="20"/>
        </w:rPr>
        <w:t xml:space="preserve"> </w:t>
      </w:r>
      <w:r w:rsidRPr="00265BC6">
        <w:rPr>
          <w:rFonts w:ascii="Verdana" w:hAnsi="Verdana"/>
          <w:sz w:val="20"/>
          <w:szCs w:val="20"/>
        </w:rPr>
        <w:t>wschodnim narożniku Miasteczka Studenckiego, pomiędzy budynkiem DS-14 a ulicą Reymonta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 budynku w południowo - wschodnim narożniku Miasteczka Studenckiego,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265BC6">
        <w:rPr>
          <w:rFonts w:ascii="Verdana" w:hAnsi="Verdana"/>
          <w:sz w:val="20"/>
          <w:szCs w:val="20"/>
        </w:rPr>
        <w:t>w rejonie działki nr 653/28, pomiędzy budynkami DS-14, U-7 i pawilonem PAN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 parkingu na 150 stanowisk w rejonie ulicy Budryka i ACK Cyfronet</w:t>
      </w:r>
      <w:r w:rsidR="00265BC6">
        <w:rPr>
          <w:rFonts w:ascii="Verdana" w:hAnsi="Verdana"/>
          <w:sz w:val="20"/>
          <w:szCs w:val="20"/>
        </w:rPr>
        <w:t>;</w:t>
      </w:r>
    </w:p>
    <w:p w:rsidR="00975420" w:rsidRPr="008F0AB0" w:rsidRDefault="00975420" w:rsidP="0097542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975420">
        <w:rPr>
          <w:rFonts w:ascii="Verdana" w:hAnsi="Verdana"/>
          <w:color w:val="0070C0"/>
          <w:sz w:val="20"/>
          <w:szCs w:val="20"/>
          <w:bdr w:val="single" w:sz="4" w:space="0" w:color="auto"/>
        </w:rPr>
        <w:t>2</w:t>
      </w:r>
      <w:r w:rsidRPr="008F0AB0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nie uwzględniono</w:t>
      </w:r>
    </w:p>
    <w:p w:rsidR="00975420" w:rsidRPr="00265BC6" w:rsidRDefault="00975420" w:rsidP="00975420">
      <w:pPr>
        <w:ind w:left="360"/>
        <w:jc w:val="both"/>
        <w:rPr>
          <w:rFonts w:ascii="Verdana" w:hAnsi="Verdana"/>
          <w:sz w:val="20"/>
          <w:szCs w:val="20"/>
        </w:rPr>
      </w:pPr>
    </w:p>
    <w:p w:rsidR="00975420" w:rsidRDefault="00553A3D" w:rsidP="00975420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 xml:space="preserve">Budowa parkingu podziemnego dwukondygnacyjnego </w:t>
      </w:r>
      <w:r w:rsidR="00330413">
        <w:rPr>
          <w:rFonts w:ascii="Verdana" w:hAnsi="Verdana"/>
          <w:sz w:val="20"/>
          <w:szCs w:val="20"/>
        </w:rPr>
        <w:t>w</w:t>
      </w:r>
      <w:r w:rsidRPr="00265BC6">
        <w:rPr>
          <w:rFonts w:ascii="Verdana" w:hAnsi="Verdana"/>
          <w:sz w:val="20"/>
          <w:szCs w:val="20"/>
        </w:rPr>
        <w:t xml:space="preserve"> narożniku ulic Reymonta i</w:t>
      </w:r>
      <w:r w:rsidR="00265BC6">
        <w:rPr>
          <w:rFonts w:ascii="Verdana" w:hAnsi="Verdana"/>
          <w:sz w:val="20"/>
          <w:szCs w:val="20"/>
        </w:rPr>
        <w:t> </w:t>
      </w:r>
      <w:r w:rsidRPr="00265BC6">
        <w:rPr>
          <w:rFonts w:ascii="Verdana" w:hAnsi="Verdana"/>
          <w:sz w:val="20"/>
          <w:szCs w:val="20"/>
        </w:rPr>
        <w:t>Piastowskiej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Budowa, przebudowa i rozbudowa obiektów sportowych na terenie Miasteczka Studenckiego</w:t>
      </w:r>
      <w:r w:rsidR="00265BC6">
        <w:rPr>
          <w:rFonts w:ascii="Verdana" w:hAnsi="Verdana"/>
          <w:sz w:val="20"/>
          <w:szCs w:val="20"/>
        </w:rPr>
        <w:t>;</w:t>
      </w:r>
    </w:p>
    <w:p w:rsid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Budowa budynku w narożniku ulic Reymonta i Piastowskiej</w:t>
      </w:r>
      <w:r w:rsidR="00265BC6">
        <w:rPr>
          <w:rFonts w:ascii="Verdana" w:hAnsi="Verdana"/>
          <w:sz w:val="20"/>
          <w:szCs w:val="20"/>
        </w:rPr>
        <w:t>;</w:t>
      </w:r>
    </w:p>
    <w:p w:rsidR="00975420" w:rsidRDefault="00975420" w:rsidP="00975420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bdr w:val="single" w:sz="4" w:space="0" w:color="auto"/>
        </w:rPr>
        <w:t>1</w:t>
      </w:r>
      <w:r w:rsidRPr="008F0AB0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nie uwzględniono istniejącej decyzji ULICP na budynek w którym linia zabudowy jest zbliżona do ulicy Piastowskiej</w:t>
      </w:r>
    </w:p>
    <w:p w:rsidR="00265BC6" w:rsidRDefault="00265BC6" w:rsidP="00265BC6">
      <w:pPr>
        <w:jc w:val="both"/>
        <w:rPr>
          <w:rFonts w:ascii="Verdana" w:hAnsi="Verdana"/>
          <w:sz w:val="20"/>
          <w:szCs w:val="20"/>
        </w:rPr>
      </w:pPr>
    </w:p>
    <w:p w:rsidR="00553A3D" w:rsidRDefault="00553A3D" w:rsidP="00265BC6">
      <w:p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 xml:space="preserve">Kanclerz Akademii Górniczo–Hutniczej pozostaje do dyspozycji i wyraża chęć współpracy w sprawie udostępnienia szczegółów, parametrów i opracowań graficznych </w:t>
      </w:r>
      <w:r w:rsidRPr="00265BC6">
        <w:rPr>
          <w:rFonts w:ascii="Verdana" w:hAnsi="Verdana"/>
          <w:sz w:val="20"/>
          <w:szCs w:val="20"/>
        </w:rPr>
        <w:lastRenderedPageBreak/>
        <w:t>dla poszczególnych planowanych i zainicjowanych inwestycji na etapie sporządzania projektu planu oraz konsultacji.</w:t>
      </w:r>
    </w:p>
    <w:p w:rsidR="00975420" w:rsidRDefault="00975420" w:rsidP="00ED71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Nie wzięto pod uwagę tej sugestii.</w:t>
      </w:r>
    </w:p>
    <w:p w:rsidR="00975420" w:rsidRPr="00265BC6" w:rsidRDefault="00975420" w:rsidP="00265BC6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Wyznaczenie Terenów usług publicznych na działkach:</w:t>
      </w:r>
      <w:r w:rsidRPr="001F2543">
        <w:rPr>
          <w:rFonts w:ascii="Verdana" w:hAnsi="Verdana"/>
          <w:sz w:val="20"/>
          <w:szCs w:val="20"/>
        </w:rPr>
        <w:br/>
        <w:t>660/2, 671, 672, 673/6, 673/8, 673/3, 673/7, 674/3, 674/5, 772/9, 772/30 obręb 4 – Krowodrza</w:t>
      </w:r>
      <w:r w:rsidR="00265BC6">
        <w:rPr>
          <w:rFonts w:ascii="Verdana" w:hAnsi="Verdana"/>
          <w:sz w:val="20"/>
          <w:szCs w:val="20"/>
        </w:rPr>
        <w:t>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</w:p>
    <w:p w:rsidR="00553A3D" w:rsidRPr="001F2543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Akademia Górniczo-Hutnicza w Krakowie, jest udziałowcem przedmiotowych działek i</w:t>
      </w:r>
      <w:r w:rsidR="00B006C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prowadzi w stosunku do nich strategię pełnego przejęcia, związaną z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planami rozwoju Uczelni i rosnącym zapotrzebowaniem na nowe kierunki, wydziały i związane z nimi budynki dydaktyczne i badawcze.</w:t>
      </w:r>
      <w:r w:rsidR="00B006C3">
        <w:rPr>
          <w:rFonts w:ascii="Verdana" w:hAnsi="Verdana"/>
          <w:sz w:val="20"/>
          <w:szCs w:val="20"/>
        </w:rPr>
        <w:t xml:space="preserve"> </w:t>
      </w:r>
    </w:p>
    <w:p w:rsidR="00553A3D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Jedynie przeznaczenie terenu działek pod usługi publiczne umożliwi zagospodarowanie działek przez kontynuowanie funkcji podstawowej Uczelni.</w:t>
      </w:r>
    </w:p>
    <w:p w:rsidR="00975420" w:rsidRDefault="00975420" w:rsidP="00975420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Nie wzięto pod uwagę tej sugestii. Wyznaczono teren </w:t>
      </w:r>
      <w:r w:rsidR="006B4CDD">
        <w:rPr>
          <w:rFonts w:ascii="Verdana" w:hAnsi="Verdana"/>
          <w:color w:val="FF0000"/>
          <w:sz w:val="20"/>
          <w:szCs w:val="20"/>
        </w:rPr>
        <w:t xml:space="preserve">usług przyulicznych oraz </w:t>
      </w:r>
      <w:r w:rsidR="006B4CDD" w:rsidRPr="006B4CDD">
        <w:rPr>
          <w:rFonts w:ascii="Verdana" w:hAnsi="Verdana"/>
          <w:color w:val="FF0000"/>
          <w:sz w:val="20"/>
          <w:szCs w:val="20"/>
        </w:rPr>
        <w:t>teren zabudowy mieszkaniowej wielorodzinnej lub usług</w:t>
      </w:r>
      <w:r w:rsidR="006B4CDD">
        <w:rPr>
          <w:rFonts w:ascii="Verdana" w:hAnsi="Verdana"/>
          <w:color w:val="FF0000"/>
          <w:sz w:val="20"/>
          <w:szCs w:val="20"/>
        </w:rPr>
        <w:t xml:space="preserve"> 1MW-U </w:t>
      </w:r>
    </w:p>
    <w:p w:rsidR="00975420" w:rsidRPr="001F2543" w:rsidRDefault="00975420" w:rsidP="00B006C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Wyznaczenie Terenów usług publicznych dla całej powierzchni działki nr 676 obręb 4 – Krowodrza</w:t>
      </w:r>
      <w:r w:rsidR="00265BC6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z parametrami zbliżonymi do zabudowy sąsiedniej, tj. budynku Wydziału Informatyki na działkach nr. 674/1, 675 i 676.</w:t>
      </w:r>
    </w:p>
    <w:p w:rsidR="00265BC6" w:rsidRPr="001F2543" w:rsidRDefault="00265BC6" w:rsidP="00265BC6">
      <w:pPr>
        <w:ind w:left="360"/>
        <w:jc w:val="both"/>
        <w:rPr>
          <w:rFonts w:ascii="Verdana" w:hAnsi="Verdana"/>
          <w:sz w:val="20"/>
          <w:szCs w:val="20"/>
        </w:rPr>
      </w:pPr>
    </w:p>
    <w:p w:rsidR="00265BC6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od wyznaczenia maksymalnej długości elewacji budynku lub ustanowienie definicji długości elewacji w kontekście zespołu budynków, kompleksu budynków, pawilonów czy segmentów budynków.</w:t>
      </w:r>
    </w:p>
    <w:p w:rsidR="00265BC6" w:rsidRDefault="00265BC6" w:rsidP="00265BC6">
      <w:pPr>
        <w:pStyle w:val="Akapitzlist"/>
        <w:rPr>
          <w:rFonts w:ascii="Verdana" w:hAnsi="Verdana"/>
          <w:sz w:val="20"/>
          <w:szCs w:val="20"/>
        </w:rPr>
      </w:pPr>
    </w:p>
    <w:p w:rsidR="00E05334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Akademia Górniczo-Hutnicza w Krakowie, jest użytkownikiem budynków, które pomimo dużej skali posiadają dalszy potencjał rozbudowy. Pon</w:t>
      </w:r>
      <w:r w:rsidR="00265BC6">
        <w:rPr>
          <w:rFonts w:ascii="Verdana" w:hAnsi="Verdana"/>
          <w:sz w:val="20"/>
          <w:szCs w:val="20"/>
        </w:rPr>
        <w:t>adto występują zespoły budynków</w:t>
      </w:r>
      <w:r w:rsidRPr="001F2543">
        <w:rPr>
          <w:rFonts w:ascii="Verdana" w:hAnsi="Verdana"/>
          <w:sz w:val="20"/>
          <w:szCs w:val="20"/>
        </w:rPr>
        <w:t>/pawilonów, łączących się w kompleksy bezpośrednio a także za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pośrednictwem hal technologicznych, łączników czy przewiązek, co przy często spotykanej interpretacji </w:t>
      </w:r>
      <w:proofErr w:type="spellStart"/>
      <w:r w:rsidRPr="001F2543">
        <w:rPr>
          <w:rFonts w:ascii="Verdana" w:hAnsi="Verdana"/>
          <w:sz w:val="20"/>
          <w:szCs w:val="20"/>
        </w:rPr>
        <w:t>WAiU</w:t>
      </w:r>
      <w:proofErr w:type="spellEnd"/>
      <w:r w:rsidRPr="001F2543">
        <w:rPr>
          <w:rFonts w:ascii="Verdana" w:hAnsi="Verdana"/>
          <w:sz w:val="20"/>
          <w:szCs w:val="20"/>
        </w:rPr>
        <w:t xml:space="preserve"> UMK na etapie wydawania decyzji, może być uznawane jako sumaryczna długość elewacji, ograniczając potencjał rozbudowy, nadbudowy 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nawet przebudowy pozostającej w zgodzie z zapisami MPZP, gdyby ten limitował długość elewacji. </w:t>
      </w:r>
    </w:p>
    <w:p w:rsidR="00E05334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Przykładem może być zespół budynków B-1 do B-4 wraz z przylegającymi halami technologicznymi.</w:t>
      </w:r>
      <w:r w:rsidR="00B006C3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br/>
        <w:t>Z uwagi na specyfikę i powiązany układ urbanistyczny kampusu, w wielu wypadkach kłopotliwe mogłoby też być zidentyfikowanie elewacji frontowej niektórych budynków.</w:t>
      </w:r>
      <w:r w:rsidR="00E05334">
        <w:rPr>
          <w:rFonts w:ascii="Verdana" w:hAnsi="Verdana"/>
          <w:sz w:val="20"/>
          <w:szCs w:val="20"/>
        </w:rPr>
        <w:t xml:space="preserve"> </w:t>
      </w:r>
    </w:p>
    <w:p w:rsidR="00E05334" w:rsidRDefault="00553A3D" w:rsidP="00265BC6">
      <w:pPr>
        <w:ind w:left="36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Elewacja, którą można uznać za frontową dla budynku B-1, posiada szerokość ok. 20 metrów, szerokość dłuższej elewacji to ponad 60 metrów, wraz z halą technologiczną prawie 100 metrów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a szerokość frontu całego kompleksu B-1</w:t>
      </w:r>
      <w:r w:rsidR="00590F43">
        <w:rPr>
          <w:rFonts w:ascii="Verdana" w:hAnsi="Verdana"/>
          <w:sz w:val="20"/>
          <w:szCs w:val="20"/>
        </w:rPr>
        <w:t>÷</w:t>
      </w:r>
      <w:r w:rsidRPr="001F2543">
        <w:rPr>
          <w:rFonts w:ascii="Verdana" w:hAnsi="Verdana"/>
          <w:sz w:val="20"/>
          <w:szCs w:val="20"/>
        </w:rPr>
        <w:t>B</w:t>
      </w:r>
      <w:r w:rsidR="00590F43">
        <w:rPr>
          <w:rFonts w:ascii="Verdana" w:hAnsi="Verdana"/>
          <w:sz w:val="20"/>
          <w:szCs w:val="20"/>
        </w:rPr>
        <w:t>-</w:t>
      </w:r>
      <w:r w:rsidRPr="001F2543">
        <w:rPr>
          <w:rFonts w:ascii="Verdana" w:hAnsi="Verdana"/>
          <w:sz w:val="20"/>
          <w:szCs w:val="20"/>
        </w:rPr>
        <w:t>4 to 157 metrów.</w:t>
      </w:r>
    </w:p>
    <w:p w:rsidR="00553A3D" w:rsidRPr="001F2543" w:rsidRDefault="00553A3D" w:rsidP="00265BC6">
      <w:pPr>
        <w:ind w:left="36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Pierzeja zabudowy budynków od D-1 do C-5 wraz z łącznikami to 250 metrów.</w:t>
      </w:r>
      <w:r w:rsidRPr="001F2543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od wyznaczania linii zabudowy od strony wewnętrznej kwartałów</w:t>
      </w:r>
      <w:r w:rsidR="00E05334">
        <w:rPr>
          <w:rFonts w:ascii="Verdana" w:hAnsi="Verdana"/>
          <w:sz w:val="20"/>
          <w:szCs w:val="20"/>
        </w:rPr>
        <w:t xml:space="preserve">/ kampusu </w:t>
      </w:r>
      <w:r w:rsidRPr="001F2543">
        <w:rPr>
          <w:rFonts w:ascii="Verdana" w:hAnsi="Verdana"/>
          <w:sz w:val="20"/>
          <w:szCs w:val="20"/>
        </w:rPr>
        <w:t>AGH</w:t>
      </w:r>
      <w:r w:rsidR="00E05334">
        <w:rPr>
          <w:rFonts w:ascii="Verdana" w:hAnsi="Verdana"/>
          <w:sz w:val="20"/>
          <w:szCs w:val="20"/>
        </w:rPr>
        <w:t>.</w:t>
      </w:r>
    </w:p>
    <w:p w:rsidR="006B4CDD" w:rsidRPr="006B4CDD" w:rsidRDefault="006B4CDD" w:rsidP="006B4CDD">
      <w:pPr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6B4CDD">
        <w:rPr>
          <w:rFonts w:ascii="Verdana" w:hAnsi="Verdana"/>
          <w:color w:val="FF0000"/>
          <w:sz w:val="20"/>
          <w:szCs w:val="20"/>
        </w:rPr>
        <w:t>Nie uwzględniono</w:t>
      </w:r>
      <w:r>
        <w:rPr>
          <w:rFonts w:ascii="Verdana" w:hAnsi="Verdana"/>
          <w:color w:val="FF0000"/>
          <w:sz w:val="20"/>
          <w:szCs w:val="20"/>
        </w:rPr>
        <w:t xml:space="preserve"> i wprowadzono takie linie w rejonie budynku S-1, D-4, B-5, B-6, H-B6, D-10, D-11, D-16 ACMiN, D-7 i D-9 oraz na terenie MS AGH. 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 xml:space="preserve">Od strony ulic zabudowa kampusu jest uregulowana w naturalny, historyczny sposób, natomiast wnętrze kampusu podlega i może podlegać przebudowom i rozbudowom, </w:t>
      </w:r>
      <w:r w:rsidRPr="001F2543">
        <w:rPr>
          <w:rFonts w:ascii="Verdana" w:hAnsi="Verdana"/>
          <w:sz w:val="20"/>
          <w:szCs w:val="20"/>
        </w:rPr>
        <w:lastRenderedPageBreak/>
        <w:t>w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postaci powiększania budynków, dobudowy komunikacji pionowej i poziomej odpowiadającej aktualnym przepisom, udogodnień dla osób niepełnosprawnych, zadaszenia dziedzińców.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Uwzględnienie możliwości dobudowy zewnętrznych dźwigów osobowych oraz innych udogodnień dla osób niepełnosprawnych</w:t>
      </w:r>
      <w:r w:rsidR="00330413">
        <w:rPr>
          <w:rFonts w:ascii="Verdana" w:hAnsi="Verdana"/>
          <w:sz w:val="20"/>
          <w:szCs w:val="20"/>
        </w:rPr>
        <w:t>,</w:t>
      </w:r>
      <w:r w:rsidRPr="001F2543">
        <w:rPr>
          <w:rFonts w:ascii="Verdana" w:hAnsi="Verdana"/>
          <w:sz w:val="20"/>
          <w:szCs w:val="20"/>
        </w:rPr>
        <w:t xml:space="preserve"> nie stanowiące rozbudowy/ zwiększenia powierzchni zabudowy oraz możliwość lokalizacji w takim przypadku nadszybia windy przekraczającego istniejącą/dopuszczalną wysokość zabudowy o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co najmniej 3,0 metr</w:t>
      </w:r>
      <w:r w:rsidR="0051487F">
        <w:rPr>
          <w:rFonts w:ascii="Verdana" w:hAnsi="Verdana"/>
          <w:sz w:val="20"/>
          <w:szCs w:val="20"/>
        </w:rPr>
        <w:t>ów</w:t>
      </w:r>
      <w:r w:rsidRPr="001F2543">
        <w:rPr>
          <w:rFonts w:ascii="Verdana" w:hAnsi="Verdana"/>
          <w:sz w:val="20"/>
          <w:szCs w:val="20"/>
        </w:rPr>
        <w:t xml:space="preserve"> (nad ostatnią kondygnacją). 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Uzasadnienie: </w:t>
      </w:r>
      <w:r w:rsidRPr="001F2543">
        <w:rPr>
          <w:rFonts w:ascii="Verdana" w:hAnsi="Verdana"/>
          <w:sz w:val="20"/>
          <w:szCs w:val="20"/>
        </w:rPr>
        <w:br/>
        <w:t>Dla budynków istniejących, dostosowywanych pod względem dostępności przez montaż dźwigów osobowych, istotne jest pozostawienie rezerwy wysokości dla nadszybia dźwigu, którego najmniejsza wymagana wysokość najczęściej znacznie przekracza wysokość najwyższej udostępnianej kondygnacji z uwagi na warunki techniczne i wymagania UDT. Alternatywą może być zapis dopuszczający lokalizację nadszybia ponad maksymalną wysokość budynku z uwzględnieniem przepisów odrębnych.</w:t>
      </w:r>
      <w:r w:rsidRPr="001F2543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E05334">
        <w:rPr>
          <w:rFonts w:ascii="Verdana" w:hAnsi="Verdana"/>
          <w:sz w:val="20"/>
          <w:szCs w:val="20"/>
        </w:rPr>
        <w:t>Określenie dopuszczalnej wysokości zabudowy na poziomie co najmniej 40 metrów a dla terenu Miasteczka Studenckiego pomiędzy ulicami Reymonta, Piastowską, Nawojki i Kawiory - wysokości 55 metrów</w:t>
      </w:r>
      <w:r w:rsidR="00E05334" w:rsidRPr="00E05334">
        <w:rPr>
          <w:rFonts w:ascii="Verdana" w:hAnsi="Verdana"/>
          <w:sz w:val="20"/>
          <w:szCs w:val="20"/>
        </w:rPr>
        <w:t>.</w:t>
      </w:r>
    </w:p>
    <w:p w:rsidR="006B4CDD" w:rsidRPr="006B4CDD" w:rsidRDefault="006B4CDD" w:rsidP="006B4CDD">
      <w:pPr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6B4CDD">
        <w:rPr>
          <w:rFonts w:ascii="Verdana" w:hAnsi="Verdana"/>
          <w:color w:val="FF0000"/>
          <w:sz w:val="20"/>
          <w:szCs w:val="20"/>
        </w:rPr>
        <w:t>Nie uwzględniono</w:t>
      </w:r>
    </w:p>
    <w:p w:rsidR="00E05334" w:rsidRP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E05334">
        <w:rPr>
          <w:rFonts w:ascii="Verdana" w:hAnsi="Verdana"/>
          <w:sz w:val="20"/>
          <w:szCs w:val="20"/>
        </w:rPr>
        <w:t xml:space="preserve">Uzasadnienie: </w:t>
      </w:r>
      <w:r w:rsidRPr="00E05334">
        <w:rPr>
          <w:rFonts w:ascii="Verdana" w:hAnsi="Verdana"/>
          <w:sz w:val="20"/>
          <w:szCs w:val="20"/>
        </w:rPr>
        <w:br/>
        <w:t>Wniosek w nawiązaniu do wysokości zabudowy istniejącej (Pawilony B-5, C-5, D-8, DS-1, DS-2, DS-3, DS-14 o wysokości 55 metrów), zabudowy na terenach sąsiednich i terenach planów sąsiednich, jak zabudowa pierzei północnej ulicy Czarnowiejskiej, budynek instytutu UJ przy ulicy Reymonta, Budynek UW przy alei Mickiewicza, oraz w</w:t>
      </w:r>
      <w:r w:rsidR="008D15DC">
        <w:rPr>
          <w:rFonts w:ascii="Verdana" w:hAnsi="Verdana"/>
          <w:sz w:val="20"/>
          <w:szCs w:val="20"/>
        </w:rPr>
        <w:t> </w:t>
      </w:r>
      <w:r w:rsidRPr="00E05334">
        <w:rPr>
          <w:rFonts w:ascii="Verdana" w:hAnsi="Verdana"/>
          <w:sz w:val="20"/>
          <w:szCs w:val="20"/>
        </w:rPr>
        <w:t>stosunku do planów inwestycyjnych, w szczególności w zakresie kompleksu budynków „E” z planowanymi elementami wysokościowymi w kwartale pomiędzy ulicami: Reymonta, Miechowską, Czarnowiejską i Akademicką.</w:t>
      </w: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E05334">
        <w:rPr>
          <w:rFonts w:ascii="Verdana" w:hAnsi="Verdana"/>
          <w:sz w:val="20"/>
          <w:szCs w:val="20"/>
        </w:rPr>
        <w:t>Na terenie Miasteczka Studenckiego pomiędzy ulicami Reymonta, Piastowską, Nawojki i Kawiory</w:t>
      </w:r>
      <w:r w:rsidR="00330413">
        <w:rPr>
          <w:rFonts w:ascii="Verdana" w:hAnsi="Verdana"/>
          <w:sz w:val="20"/>
          <w:szCs w:val="20"/>
        </w:rPr>
        <w:t>,</w:t>
      </w:r>
      <w:r w:rsidRPr="00E05334">
        <w:rPr>
          <w:rFonts w:ascii="Verdana" w:hAnsi="Verdana"/>
          <w:sz w:val="20"/>
          <w:szCs w:val="20"/>
        </w:rPr>
        <w:t xml:space="preserve"> w obszarze analizy występują budynki wysokościowe</w:t>
      </w:r>
      <w:r w:rsidR="00330413">
        <w:rPr>
          <w:rFonts w:ascii="Verdana" w:hAnsi="Verdana"/>
          <w:sz w:val="20"/>
          <w:szCs w:val="20"/>
        </w:rPr>
        <w:t>,</w:t>
      </w:r>
      <w:r w:rsidRPr="00E05334">
        <w:rPr>
          <w:rFonts w:ascii="Verdana" w:hAnsi="Verdana"/>
          <w:sz w:val="20"/>
          <w:szCs w:val="20"/>
        </w:rPr>
        <w:t xml:space="preserve"> gdzie miejsce po</w:t>
      </w:r>
      <w:r w:rsidR="00590F43">
        <w:rPr>
          <w:rFonts w:ascii="Verdana" w:hAnsi="Verdana"/>
          <w:sz w:val="20"/>
          <w:szCs w:val="20"/>
        </w:rPr>
        <w:t> </w:t>
      </w:r>
      <w:r w:rsidRPr="00E05334">
        <w:rPr>
          <w:rFonts w:ascii="Verdana" w:hAnsi="Verdana"/>
          <w:sz w:val="20"/>
          <w:szCs w:val="20"/>
        </w:rPr>
        <w:t>wyburzonym budynku U-8 „Lewiatan” stwarza potencjał dla zabudowy wysokiej, również z uwzględnieniem pozostałych wskaźników i przepisów odrębnych, jak również nawiązującej skalą do zabudowy istniejącej.</w:t>
      </w:r>
    </w:p>
    <w:p w:rsidR="00553A3D" w:rsidRPr="001F2543" w:rsidRDefault="00553A3D" w:rsidP="00553A3D">
      <w:pPr>
        <w:ind w:left="360"/>
        <w:jc w:val="both"/>
        <w:rPr>
          <w:rFonts w:ascii="Verdana" w:hAnsi="Verdana"/>
          <w:sz w:val="20"/>
          <w:szCs w:val="20"/>
        </w:rPr>
      </w:pPr>
    </w:p>
    <w:p w:rsidR="00553A3D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od zapisów włączających do limitu wysokości zabudowy również niewielkie elementy kubaturowe (nadszybia, maszynownie, schodowe wyjścia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dachy), elementy techniczne i wyposażenia znajdujące się na dachach budynków, powyżej poziomów dachów, attyk, kalenic, gzymsów czy okapów</w:t>
      </w:r>
      <w:r w:rsidR="00A75E59">
        <w:rPr>
          <w:rFonts w:ascii="Verdana" w:hAnsi="Verdana"/>
          <w:sz w:val="20"/>
          <w:szCs w:val="20"/>
        </w:rPr>
        <w:t>,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lub wprowadzenie dodatkowego limitu wysokości względnej dla samych przestrzeni technicznych na dachach ( ponad zasadniczą kubaturę głównej bryły budynku ) lub wprowadzenie definicji dodatkowej przestrzeni technicznej/dopuszczalnej wysokości wyposażenia, w kontekście dopuszczalnej wysokości zabudowy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lub uwzględnienie w inwentaryzacji do projektu planu wysokości budynków wraz z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istniejącym wyposażeniem i elementami przewyższającymi bryłę i dach budynku właściwego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oraz przyjęcie stosownych rezerw wysokości ponad istniejące.</w:t>
      </w:r>
    </w:p>
    <w:p w:rsidR="001E177A" w:rsidRPr="001E177A" w:rsidRDefault="001E177A" w:rsidP="001E177A">
      <w:pPr>
        <w:pStyle w:val="Akapitzlist"/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1E177A">
        <w:rPr>
          <w:rFonts w:ascii="Verdana" w:hAnsi="Verdana"/>
          <w:color w:val="FF0000"/>
          <w:sz w:val="20"/>
          <w:szCs w:val="20"/>
        </w:rPr>
        <w:t>Nie uwzględniono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ind w:left="36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 xml:space="preserve">Dachy budynków Uczelni wielokrotnie pełnią funkcje techniczne, badawcze a nawet dydaktyczne. Poza standardowymi elementami występującymi na dachach jak nadszybia, wyłazy, kopułki świetlików anteny, nadajniki, panele fotowoltaiczne, </w:t>
      </w:r>
      <w:r w:rsidRPr="001F2543">
        <w:rPr>
          <w:rFonts w:ascii="Verdana" w:hAnsi="Verdana"/>
          <w:sz w:val="20"/>
          <w:szCs w:val="20"/>
        </w:rPr>
        <w:lastRenderedPageBreak/>
        <w:t>instalacje i centrale wentylacyjne, agregaty klimatyzacji, instalacje odgromowe, w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tym maszty, lokalizowane są tam także urządzenia badawcze, </w:t>
      </w:r>
      <w:proofErr w:type="spellStart"/>
      <w:r w:rsidRPr="001F2543">
        <w:rPr>
          <w:rFonts w:ascii="Verdana" w:hAnsi="Verdana"/>
          <w:sz w:val="20"/>
          <w:szCs w:val="20"/>
        </w:rPr>
        <w:t>trackery</w:t>
      </w:r>
      <w:proofErr w:type="spellEnd"/>
      <w:r w:rsidRPr="001F2543">
        <w:rPr>
          <w:rFonts w:ascii="Verdana" w:hAnsi="Verdana"/>
          <w:sz w:val="20"/>
          <w:szCs w:val="20"/>
        </w:rPr>
        <w:t xml:space="preserve"> solarne, wiatraki, teleskopy, stacje pogodowe, urządzenia do pomiaru hałasu, promieniowania a także pomosty techniczne z barierkami, pozwalające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prowadzenie zajęć dydaktycznych. Przykładem takiej sytuacji może być pawilon C-3 przy ulicy Czarnowiejskiej, posiadający wysokość budynku (attyki) na poziomie ok. 25 metrów, z aparaturą badawczą i przestrzenią dydaktyczną o dodatkowej wysokości sięgającej dodatkowych 6 metrów a z masztami odgromowymi niemal 8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metrów ponad attyki.</w:t>
      </w:r>
    </w:p>
    <w:p w:rsidR="00553A3D" w:rsidRPr="001F2543" w:rsidRDefault="00553A3D" w:rsidP="00553A3D">
      <w:pPr>
        <w:ind w:left="36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Limitowanie wysokości budynku do jego właściwej bryły, nawet przy zapisach pozwalających na pozostawienie wyposażenie istniejącego, powodowałoby ograniczenia w dalszym wyposażeniu, wymianie wyposażenia istniejącego 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w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przypadku przebudowy budynku problemy z wykazaniem zgodności z zapisami MPZP.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 </w:t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Ustalenie wymaganego udziału powierzchni biologicznie czynnej dla terenów usługowych na poziomie maksymalnym 20%</w:t>
      </w:r>
      <w:r w:rsidR="00B006C3">
        <w:rPr>
          <w:rFonts w:ascii="Verdana" w:hAnsi="Verdana"/>
          <w:sz w:val="20"/>
          <w:szCs w:val="20"/>
        </w:rPr>
        <w:t>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Kalkulacja aktualnych wskaźników na terenie kampusu głównego AGH, wliczająca do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bilansu trwające i planowane inwestycje, daje wynik tylko nieznacznie przekraczający 20% udziału powierzchni biologicznie czynnej w terenie. 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lub maksymalne ograniczenie wyznaczania terenów zieleni urządzonej na terenie kampusu, na rzecz zieleni towarzyszącej zabudowie.</w:t>
      </w:r>
    </w:p>
    <w:p w:rsidR="001E177A" w:rsidRPr="001E177A" w:rsidRDefault="001E177A" w:rsidP="001E177A">
      <w:pPr>
        <w:pStyle w:val="Akapitzlist"/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1E177A">
        <w:rPr>
          <w:rFonts w:ascii="Verdana" w:hAnsi="Verdana"/>
          <w:color w:val="FF0000"/>
          <w:sz w:val="20"/>
          <w:szCs w:val="20"/>
        </w:rPr>
        <w:t>Nie uwzględniono</w:t>
      </w:r>
      <w:r>
        <w:rPr>
          <w:rFonts w:ascii="Verdana" w:hAnsi="Verdana"/>
          <w:color w:val="FF0000"/>
          <w:sz w:val="20"/>
          <w:szCs w:val="20"/>
        </w:rPr>
        <w:t>. Wyznaczono osiem takich terenów. Dla MS AGH 1ZP i 2ZP, a dla pozostałego kampusu 4ZP-9ZP.</w:t>
      </w:r>
    </w:p>
    <w:p w:rsidR="001E177A" w:rsidRDefault="001E177A" w:rsidP="001E177A">
      <w:pPr>
        <w:ind w:left="360"/>
        <w:jc w:val="both"/>
        <w:rPr>
          <w:rFonts w:ascii="Verdana" w:hAnsi="Verdana"/>
          <w:sz w:val="20"/>
          <w:szCs w:val="20"/>
        </w:rPr>
      </w:pP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90F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Tereny zielone na terenie kampusu stanowią powierzchnię biologicznie czynną, bilansującą/równoważącą powierzchnię zabudowy oraz utwardzenia (powierzchnię zainwestowaną) przy obejmowaniu ich</w:t>
      </w:r>
      <w:r w:rsidR="00B006C3">
        <w:rPr>
          <w:rFonts w:ascii="Verdana" w:hAnsi="Verdana"/>
          <w:sz w:val="20"/>
          <w:szCs w:val="20"/>
        </w:rPr>
        <w:t xml:space="preserve"> zakresem wniosków o rozbudowę.</w:t>
      </w: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</w:t>
      </w:r>
      <w:r w:rsidR="00B006C3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 xml:space="preserve">przypadku wyodrębnienia terenów zieleni urządzonej, pozostałe tereny usług zostaną pozbawione powierzchni biologicznie czynnej, co uniemożliwi ich dalsze zainwestowanie/rozbudowę, przez brak możliwości osiągnięcia udziału powierzchni biologicznie czynnej w bilansie terenu kalkulowanym w stosunku do terenu objętego wnioskiem, zawierającego się w terenie usług bez powierzchni biologicznie czynnej lub z jej znikomym udziałem. </w:t>
      </w:r>
      <w:r w:rsidRPr="00E05334">
        <w:rPr>
          <w:rFonts w:ascii="Verdana" w:hAnsi="Verdana"/>
          <w:sz w:val="20"/>
          <w:szCs w:val="20"/>
        </w:rPr>
        <w:t>Tereny zieleni towarzyszącej zabudowie nie są zagrożone niezależnie od ich usankcjonowania w MPZP, ponieważ ich powierzchnie jako przestrzenie pomiędzy budynkami wynikają z wymaganych odległości między budynkami, racjonalnej gęstości zabudowy a ich utrzymanie jest jednym z priorytetów Uczelni.</w:t>
      </w:r>
      <w:r w:rsidRPr="00E05334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 przypadku konieczności ustanowienia terenów zieleni urządzonej, zastosowanie wskaźnika powierzchni biologicznie czynnej dla terenów zieleni urządzonej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maksymalnym poziomie 60%,porównywalnym z pobliskimi planami miejscowymi.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Aktualny uśredniony bilans dla skwerów wewnętrznych kampusu głównego AGH wykazuje proporcje na poziomie ok. 70% powierzchni biologicznie czynnej, w stosunku do ok. 30% utwardzeń.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Wynika to z dotychczasowego sposobu użytkowania tych terenów.</w:t>
      </w:r>
      <w:r w:rsidRPr="001F2543">
        <w:rPr>
          <w:rFonts w:ascii="Verdana" w:hAnsi="Verdana"/>
          <w:sz w:val="20"/>
          <w:szCs w:val="20"/>
        </w:rPr>
        <w:br/>
        <w:t xml:space="preserve">Przez tereny zielone prowadzone są wielokierunkowe ciągi komunikacji pieszej, </w:t>
      </w:r>
      <w:r w:rsidRPr="001F2543">
        <w:rPr>
          <w:rFonts w:ascii="Verdana" w:hAnsi="Verdana"/>
          <w:sz w:val="20"/>
          <w:szCs w:val="20"/>
        </w:rPr>
        <w:lastRenderedPageBreak/>
        <w:t>wytyczone przez ścieżki łączące kluczowe miejsca Uczelni, jak na przykład wejścia do pawilonów. Na niektórych terenach prowadzone są także drogi pożarowe i trakty poszerzone do obsługi terenów przez niewielkie pojazdy. Na terenach zielonych lokalizowane są także przybywające obiekty małej architektury, grupy ławek, artefakty, rzeźby, elementy historyczne i symboliczne, sytuowane na utwardzeniach lub cokołach, koniecznych do ujęcia w bilansach i wykazujących przywołane proporcje.</w:t>
      </w:r>
      <w:r w:rsidRPr="001F2543">
        <w:rPr>
          <w:rFonts w:ascii="Verdana" w:hAnsi="Verdana"/>
          <w:sz w:val="20"/>
          <w:szCs w:val="20"/>
        </w:rPr>
        <w:br/>
        <w:t>Wnioskowany dział utwardzeń na poziomie 40% pozwala na pozostawienie rezerwy pod dalsze racjonalne utwardzenia na potrzeby planowanych ścieżek i parkingów rowerowych, także tranzytowych, zintegrowanych z siecią ścieżek miejskich 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w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przyszłości innych, trudnych do przewidzenia elementów, jak stacje ładowania, przystanki wewnętrznej kolei linowej czy metra. 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Określenie (uszczegółowienie) w MPZP obliczeniowej wartości procentowej do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ujmowania w bilansach powierzchni biologicznie czynnej organizowanej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dachach zielonych, tarasach, zadaszeniach, stropach parkingów podziemnych, nawierzchniach z </w:t>
      </w:r>
      <w:proofErr w:type="spellStart"/>
      <w:r w:rsidRPr="001F2543">
        <w:rPr>
          <w:rFonts w:ascii="Verdana" w:hAnsi="Verdana"/>
          <w:sz w:val="20"/>
          <w:szCs w:val="20"/>
        </w:rPr>
        <w:t>geokraty</w:t>
      </w:r>
      <w:proofErr w:type="spellEnd"/>
      <w:r w:rsidRPr="001F2543">
        <w:rPr>
          <w:rFonts w:ascii="Verdana" w:hAnsi="Verdana"/>
          <w:sz w:val="20"/>
          <w:szCs w:val="20"/>
        </w:rPr>
        <w:t>, nawierzchniach z betonu wodoprzepuszczalnego, w</w:t>
      </w:r>
      <w:r w:rsidR="00692F9D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ogrodach wertykalnych, kuwetach, oczkach wodnych i innych dopuszczalnych rozwiązaniach.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W stosunku do sukcesywnie zmieniających się przepisów budowlanych i interpretacji w tym zakresie, plan miejscowy wydaje się regulacją najbardziej długotrwałą i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systematyzującą zagadnienia często wywołujące kontrowersje na etapie postępowań administracyjnych. </w:t>
      </w:r>
      <w:r w:rsidRPr="001F2543">
        <w:rPr>
          <w:rFonts w:ascii="Verdana" w:hAnsi="Verdana"/>
          <w:sz w:val="20"/>
          <w:szCs w:val="20"/>
        </w:rPr>
        <w:br/>
        <w:t>Intencją Użytkowników terenu kampusu AGH jest utrzymanie równowagi pomiędzy terenami zainwestowanymi oraz poszukiwanie rozwiązań wplatających przyrodę w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tkankę Uczelni. Skwerowy charakter kompleksu wynika z jego naturalnego rozwoju, dbałości o zieleń, urządzania i pielęgnowania zieleni w przestrzeniach wolnych od zabudowy, co wynika nie tylko z przepisów odrębnych ale także ogólnej strategii przestrzennej. </w:t>
      </w:r>
      <w:r w:rsidRPr="001F2543">
        <w:rPr>
          <w:rFonts w:ascii="Verdana" w:hAnsi="Verdana"/>
          <w:sz w:val="20"/>
          <w:szCs w:val="20"/>
        </w:rPr>
        <w:br/>
        <w:t>Wymaga to trudnych kompromisów osiąganych pomiędzy gospodarką zielenią a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potrzebami kubaturowymi i rozwojem Uczelni. Aktualny duży współczynnik powierzchni zainwestowanej w skali całego kampusu AGH wymusza konieczność poszukiwań terenów zielonych / powierzchni biologicznie czynnej również na powierzchniach zainwestowanych, głównie dachach i ma to miejsce coraz powszechniej. W przypadku postępowań administracyjnych związanych z inwestycjami uwzględnianie powierzchni biologicznie czynnej w zakresie budynków wymaga jednak jednoznacznego określenia jej uwzględnianego w bilansach udziału.</w:t>
      </w:r>
      <w:r w:rsidRPr="001F2543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Ustalenie dla Kampusu AGH wskaźnika intensywności zabudowy nadziemnej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poziomie 4.0 </w:t>
      </w:r>
      <w:r w:rsidRPr="00E05334">
        <w:rPr>
          <w:rFonts w:ascii="Verdana" w:hAnsi="Verdana"/>
          <w:sz w:val="20"/>
          <w:szCs w:val="20"/>
        </w:rPr>
        <w:t>dla całego terenu objętego projektem planu</w:t>
      </w:r>
      <w:r w:rsidR="00E05334">
        <w:rPr>
          <w:rFonts w:ascii="Verdana" w:hAnsi="Verdana"/>
          <w:sz w:val="20"/>
          <w:szCs w:val="20"/>
        </w:rPr>
        <w:t>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Wnioskowany wskaźnik wynika z kalkulacji na podstawie koncepcji planowanej zabudowy kompleksu budynków „E” w kwartale pomiędzy ulicami Reymonta, Miechowską, Czarnowiejską i Akademicką,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jako stosunku powierzchni całkowitej do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terenu inwestycji ( działek ) a także analizy innych rozpoczętych i potencjalnych </w:t>
      </w:r>
      <w:r w:rsidRPr="00E05334">
        <w:rPr>
          <w:rFonts w:ascii="Verdana" w:hAnsi="Verdana"/>
          <w:sz w:val="20"/>
          <w:szCs w:val="20"/>
        </w:rPr>
        <w:t>inwestycji w stosunku do powierzchni terenów na których są planowane.</w:t>
      </w: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E05334">
        <w:rPr>
          <w:rFonts w:ascii="Verdana" w:hAnsi="Verdana"/>
          <w:sz w:val="20"/>
          <w:szCs w:val="20"/>
        </w:rPr>
        <w:t>Część planowanych inwestycji posiada charakter wysokościowy, czyli o dużej intensywności.</w:t>
      </w:r>
      <w:r w:rsidRPr="00E05334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Umożliwienie przekształceń układu komunikacyjnego i rodzajów nawierzchni kampusu AGH</w:t>
      </w:r>
    </w:p>
    <w:p w:rsidR="001E177A" w:rsidRPr="001E177A" w:rsidRDefault="001E177A" w:rsidP="001E177A">
      <w:pPr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1E177A">
        <w:rPr>
          <w:rFonts w:ascii="Verdana" w:hAnsi="Verdana"/>
          <w:color w:val="FF0000"/>
          <w:sz w:val="20"/>
          <w:szCs w:val="20"/>
        </w:rPr>
        <w:t>Nie uwzględniono. Wprowadzono teren komunikacji drogowej wewnętrznej</w:t>
      </w:r>
      <w:r>
        <w:rPr>
          <w:rFonts w:ascii="Verdana" w:hAnsi="Verdana"/>
          <w:color w:val="FF0000"/>
          <w:sz w:val="20"/>
          <w:szCs w:val="20"/>
        </w:rPr>
        <w:t xml:space="preserve"> 4KR w miejscu Akademickiej Bocznej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Wniosek dotyczy zmian związanych z inwestycjami (zabudowa dotychczasowych parkingów), obsługą komunikacyjną nowych obiektów, aktualizacją dróg pożarowych, uzupełnianiem ścieżek rowerowych, ciągów pieszych i powiązań z miejskim układem komunikacyjnym.</w:t>
      </w:r>
      <w:r w:rsidRPr="001F2543">
        <w:rPr>
          <w:rFonts w:ascii="Verdana" w:hAnsi="Verdana"/>
          <w:sz w:val="20"/>
          <w:szCs w:val="20"/>
        </w:rPr>
        <w:br/>
      </w: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Dopuszczenie przekształcania parkingów </w:t>
      </w:r>
      <w:r w:rsidRPr="00E05334">
        <w:rPr>
          <w:rFonts w:ascii="Verdana" w:hAnsi="Verdana"/>
          <w:sz w:val="20"/>
          <w:szCs w:val="20"/>
        </w:rPr>
        <w:t>naziemnych na budynki parkingów wielopoziomowych nadziemnych i podziemnych.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Dopuszczenie budowy parkingów podziemnych</w:t>
      </w:r>
      <w:r w:rsidRPr="00E05334">
        <w:rPr>
          <w:rFonts w:ascii="Verdana" w:hAnsi="Verdana"/>
          <w:sz w:val="20"/>
          <w:szCs w:val="20"/>
        </w:rPr>
        <w:t xml:space="preserve"> wielopoziomowych </w:t>
      </w:r>
      <w:r w:rsidRPr="001F2543">
        <w:rPr>
          <w:rFonts w:ascii="Verdana" w:hAnsi="Verdana"/>
          <w:sz w:val="20"/>
          <w:szCs w:val="20"/>
        </w:rPr>
        <w:t>z możliwością lokalizowania i uwzględniania na nich powierzchni biologicznie czynnej.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od wyznaczania wskaźników dla wymaganej ilości stanowisk postojowych na terenie kampusu AGH</w:t>
      </w:r>
      <w:r w:rsidR="00E05334">
        <w:rPr>
          <w:rFonts w:ascii="Verdana" w:hAnsi="Verdana"/>
          <w:sz w:val="20"/>
          <w:szCs w:val="20"/>
        </w:rPr>
        <w:t>.</w:t>
      </w:r>
    </w:p>
    <w:p w:rsidR="001E177A" w:rsidRDefault="001E177A" w:rsidP="001E177A">
      <w:pPr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1E177A">
        <w:rPr>
          <w:rFonts w:ascii="Verdana" w:hAnsi="Verdana"/>
          <w:color w:val="FF0000"/>
          <w:sz w:val="20"/>
          <w:szCs w:val="20"/>
        </w:rPr>
        <w:t xml:space="preserve">Nie uwzględniono i wprowadzono </w:t>
      </w:r>
      <w:r w:rsidR="007B765F">
        <w:rPr>
          <w:rFonts w:ascii="Verdana" w:hAnsi="Verdana"/>
          <w:color w:val="FF0000"/>
          <w:sz w:val="20"/>
          <w:szCs w:val="20"/>
        </w:rPr>
        <w:t xml:space="preserve">m.in. takie minimalne liczby </w:t>
      </w:r>
      <w:proofErr w:type="spellStart"/>
      <w:r w:rsidR="007B765F">
        <w:rPr>
          <w:rFonts w:ascii="Verdana" w:hAnsi="Verdana"/>
          <w:color w:val="FF0000"/>
          <w:sz w:val="20"/>
          <w:szCs w:val="20"/>
        </w:rPr>
        <w:t>miesjc</w:t>
      </w:r>
      <w:proofErr w:type="spellEnd"/>
      <w:r w:rsidR="007B765F">
        <w:rPr>
          <w:rFonts w:ascii="Verdana" w:hAnsi="Verdana"/>
          <w:color w:val="FF0000"/>
          <w:sz w:val="20"/>
          <w:szCs w:val="20"/>
        </w:rPr>
        <w:t xml:space="preserve"> parkingowych (postojowych):</w:t>
      </w:r>
    </w:p>
    <w:p w:rsidR="007B765F" w:rsidRDefault="007B765F" w:rsidP="007B765F">
      <w:pPr>
        <w:pStyle w:val="Akapitzlist"/>
        <w:numPr>
          <w:ilvl w:val="0"/>
          <w:numId w:val="22"/>
        </w:numPr>
        <w:jc w:val="both"/>
        <w:rPr>
          <w:rFonts w:ascii="Verdana" w:hAnsi="Verdana"/>
          <w:color w:val="FF0000"/>
          <w:sz w:val="20"/>
          <w:szCs w:val="20"/>
        </w:rPr>
      </w:pPr>
      <w:r w:rsidRPr="007B765F">
        <w:rPr>
          <w:rFonts w:ascii="Verdana" w:hAnsi="Verdana"/>
          <w:color w:val="FF0000"/>
          <w:sz w:val="20"/>
          <w:szCs w:val="20"/>
        </w:rPr>
        <w:t>domy studenckie: min. 3 i max. 7 miejsc na 100 łóżek,</w:t>
      </w:r>
    </w:p>
    <w:p w:rsidR="007B765F" w:rsidRDefault="007B765F" w:rsidP="007B765F">
      <w:pPr>
        <w:pStyle w:val="Akapitzlist"/>
        <w:numPr>
          <w:ilvl w:val="0"/>
          <w:numId w:val="22"/>
        </w:numPr>
        <w:jc w:val="both"/>
        <w:rPr>
          <w:rFonts w:ascii="Verdana" w:hAnsi="Verdana"/>
          <w:color w:val="FF0000"/>
          <w:sz w:val="20"/>
          <w:szCs w:val="20"/>
        </w:rPr>
      </w:pPr>
      <w:r w:rsidRPr="007B765F">
        <w:rPr>
          <w:rFonts w:ascii="Verdana" w:hAnsi="Verdana"/>
          <w:color w:val="FF0000"/>
          <w:sz w:val="20"/>
          <w:szCs w:val="20"/>
        </w:rPr>
        <w:t xml:space="preserve">budynki szkolnictwa wyższego, nauki: min. 5 i max. 10 miejsc na 100 zatrudnionych, </w:t>
      </w:r>
    </w:p>
    <w:p w:rsidR="007B765F" w:rsidRDefault="007B765F" w:rsidP="007B765F">
      <w:pPr>
        <w:pStyle w:val="Akapitzlist"/>
        <w:numPr>
          <w:ilvl w:val="0"/>
          <w:numId w:val="22"/>
        </w:numPr>
        <w:jc w:val="both"/>
        <w:rPr>
          <w:rFonts w:ascii="Verdana" w:hAnsi="Verdana"/>
          <w:color w:val="FF0000"/>
          <w:sz w:val="20"/>
          <w:szCs w:val="20"/>
        </w:rPr>
      </w:pPr>
      <w:r w:rsidRPr="007B765F">
        <w:rPr>
          <w:rFonts w:ascii="Verdana" w:hAnsi="Verdana"/>
          <w:color w:val="FF0000"/>
          <w:sz w:val="20"/>
          <w:szCs w:val="20"/>
        </w:rPr>
        <w:t>budynki szkolnictwa wyższego dodatkowo jeśli ze studentami: min. 2 i max. 5 miejsc na 100 studentów,</w:t>
      </w:r>
    </w:p>
    <w:p w:rsidR="007B765F" w:rsidRDefault="007B765F" w:rsidP="007B765F">
      <w:pPr>
        <w:pStyle w:val="Akapitzlist"/>
        <w:numPr>
          <w:ilvl w:val="0"/>
          <w:numId w:val="22"/>
        </w:num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</w:t>
      </w:r>
      <w:r w:rsidRPr="007B765F">
        <w:rPr>
          <w:rFonts w:ascii="Verdana" w:hAnsi="Verdana"/>
          <w:color w:val="FF0000"/>
          <w:sz w:val="20"/>
          <w:szCs w:val="20"/>
        </w:rPr>
        <w:t>akazuje się zapewnienie dodatkowo, poza istniejącymi, jednego miejsca parkingowego (postojowego) dla inwestycji, w przypadku zamiaru wykonania robót budowlanych, polegających na rozbudowie, nadbudowie lub zmianie sposobu użytkowania obiektu;</w:t>
      </w:r>
    </w:p>
    <w:p w:rsidR="007B765F" w:rsidRPr="007B765F" w:rsidRDefault="007B765F" w:rsidP="007B765F">
      <w:pPr>
        <w:pStyle w:val="Akapitzlist"/>
        <w:numPr>
          <w:ilvl w:val="0"/>
          <w:numId w:val="22"/>
        </w:numPr>
        <w:jc w:val="both"/>
        <w:rPr>
          <w:rFonts w:ascii="Verdana" w:hAnsi="Verdana"/>
          <w:color w:val="FF0000"/>
          <w:sz w:val="20"/>
          <w:szCs w:val="20"/>
        </w:rPr>
      </w:pPr>
      <w:r w:rsidRPr="007B765F">
        <w:rPr>
          <w:rFonts w:ascii="Verdana" w:hAnsi="Verdana"/>
          <w:color w:val="FF0000"/>
          <w:sz w:val="20"/>
          <w:szCs w:val="20"/>
        </w:rPr>
        <w:t>dla terenowych urządzeń sportowych i rekreacyjnych w terenie 1US</w:t>
      </w:r>
      <w:r>
        <w:rPr>
          <w:rFonts w:ascii="Verdana" w:hAnsi="Verdana"/>
          <w:color w:val="FF0000"/>
          <w:sz w:val="20"/>
          <w:szCs w:val="20"/>
        </w:rPr>
        <w:t xml:space="preserve"> (MS AGH)</w:t>
      </w:r>
      <w:r w:rsidRPr="007B765F">
        <w:rPr>
          <w:rFonts w:ascii="Verdana" w:hAnsi="Verdana"/>
          <w:color w:val="FF0000"/>
          <w:sz w:val="20"/>
          <w:szCs w:val="20"/>
        </w:rPr>
        <w:t xml:space="preserve"> nakazuje się zapewnienie 2 miejsc parkingowych (postojowych);</w:t>
      </w:r>
    </w:p>
    <w:p w:rsidR="00E05334" w:rsidRDefault="00E05334" w:rsidP="00E05334">
      <w:pPr>
        <w:pStyle w:val="Akapitzlist"/>
        <w:rPr>
          <w:rFonts w:ascii="Verdana" w:hAnsi="Verdana"/>
          <w:sz w:val="20"/>
          <w:szCs w:val="20"/>
        </w:rPr>
      </w:pPr>
    </w:p>
    <w:p w:rsidR="00553A3D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Uczelnia prowadzi wewnętrzn</w:t>
      </w:r>
      <w:r w:rsidR="0051487F">
        <w:rPr>
          <w:rFonts w:ascii="Verdana" w:hAnsi="Verdana"/>
          <w:sz w:val="20"/>
          <w:szCs w:val="20"/>
        </w:rPr>
        <w:t>ą elektroniczną kontrolę dostępu do terenu. Wyznaczenie miejsc, w których możliwe jest doraźne pozostawienie samochodu</w:t>
      </w:r>
      <w:r w:rsidRPr="001F2543">
        <w:rPr>
          <w:rFonts w:ascii="Verdana" w:hAnsi="Verdana"/>
          <w:sz w:val="20"/>
          <w:szCs w:val="20"/>
        </w:rPr>
        <w:t xml:space="preserve"> rozpatrywan</w:t>
      </w:r>
      <w:r w:rsidR="0051487F">
        <w:rPr>
          <w:rFonts w:ascii="Verdana" w:hAnsi="Verdana"/>
          <w:sz w:val="20"/>
          <w:szCs w:val="20"/>
        </w:rPr>
        <w:t>e</w:t>
      </w:r>
      <w:r w:rsidRPr="001F2543">
        <w:rPr>
          <w:rFonts w:ascii="Verdana" w:hAnsi="Verdana"/>
          <w:sz w:val="20"/>
          <w:szCs w:val="20"/>
        </w:rPr>
        <w:t xml:space="preserve"> jest globalnie z wykorzystaniem potencjału całego obszaru</w:t>
      </w:r>
      <w:r w:rsidR="0051487F">
        <w:rPr>
          <w:rFonts w:ascii="Verdana" w:hAnsi="Verdana"/>
          <w:sz w:val="20"/>
          <w:szCs w:val="20"/>
        </w:rPr>
        <w:t xml:space="preserve">, ze względu na działania zmierzające do maksymalnego rozwoju i utrzymania zieleni </w:t>
      </w:r>
      <w:proofErr w:type="spellStart"/>
      <w:r w:rsidR="0051487F">
        <w:rPr>
          <w:rFonts w:ascii="Verdana" w:hAnsi="Verdana"/>
          <w:sz w:val="20"/>
          <w:szCs w:val="20"/>
        </w:rPr>
        <w:t>okołobudynkowej</w:t>
      </w:r>
      <w:proofErr w:type="spellEnd"/>
      <w:r w:rsidR="0051487F">
        <w:rPr>
          <w:rFonts w:ascii="Verdana" w:hAnsi="Verdana"/>
          <w:sz w:val="20"/>
          <w:szCs w:val="20"/>
        </w:rPr>
        <w:t>.</w:t>
      </w:r>
      <w:r w:rsidRPr="001F2543">
        <w:rPr>
          <w:rFonts w:ascii="Verdana" w:hAnsi="Verdana"/>
          <w:sz w:val="20"/>
          <w:szCs w:val="20"/>
        </w:rPr>
        <w:t xml:space="preserve">  </w:t>
      </w:r>
      <w:r w:rsidR="0051487F">
        <w:rPr>
          <w:rFonts w:ascii="Verdana" w:hAnsi="Verdana"/>
          <w:sz w:val="20"/>
          <w:szCs w:val="20"/>
        </w:rPr>
        <w:t>S</w:t>
      </w:r>
      <w:r w:rsidRPr="001F2543">
        <w:rPr>
          <w:rFonts w:ascii="Verdana" w:hAnsi="Verdana"/>
          <w:sz w:val="20"/>
          <w:szCs w:val="20"/>
        </w:rPr>
        <w:t>tosowanie powszechnych wskaźników odnoszących się do zawężonego terenu inwestycji jest niezasadne i często niemożliwe do spełnienia wprost, lub</w:t>
      </w:r>
      <w:r w:rsidR="00590F43">
        <w:rPr>
          <w:rFonts w:ascii="Verdana" w:hAnsi="Verdana"/>
          <w:sz w:val="20"/>
          <w:szCs w:val="20"/>
        </w:rPr>
        <w:t xml:space="preserve"> </w:t>
      </w:r>
      <w:r w:rsidR="0051487F">
        <w:rPr>
          <w:rFonts w:ascii="Verdana" w:hAnsi="Verdana"/>
          <w:sz w:val="20"/>
          <w:szCs w:val="20"/>
        </w:rPr>
        <w:br/>
      </w:r>
      <w:r w:rsidRPr="001F2543">
        <w:rPr>
          <w:rFonts w:ascii="Verdana" w:hAnsi="Verdana"/>
          <w:sz w:val="20"/>
          <w:szCs w:val="20"/>
        </w:rPr>
        <w:t>w bezpośrednim sąsiedztwie inwestycji w głębi kampusu, a jedynie na wydzielonych strefach parkingowych. Przykładowo na działce nr 19/47 o powierzchni ponad 14 hektarów i z ponad trzydziestoma budynkami uwzględnienie miejsc postojowych dla choćby małej inwestycji w jej bezpośrednim sąsiedztwie (terenie objętym wnioskiem) może okazać się niemożliwe lub może nakładać się na bilans globalny dla całej działki czy kampusu, nad czym kontrolę sprawuje Uczelnia.</w:t>
      </w:r>
    </w:p>
    <w:p w:rsidR="00692F9D" w:rsidRPr="001F2543" w:rsidRDefault="00692F9D" w:rsidP="00E05334">
      <w:pPr>
        <w:jc w:val="both"/>
        <w:rPr>
          <w:rFonts w:ascii="Verdana" w:hAnsi="Verdana"/>
          <w:sz w:val="20"/>
          <w:szCs w:val="20"/>
        </w:rPr>
      </w:pPr>
    </w:p>
    <w:p w:rsidR="00183E28" w:rsidRDefault="00553A3D" w:rsidP="00183E28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Dopuszczenie zmiany sposobu użytkowania budynków i przekształceń w ramach przebudowy, rozbudowy i nadbudowy.</w:t>
      </w:r>
    </w:p>
    <w:p w:rsidR="00183E28" w:rsidRDefault="00183E28" w:rsidP="00183E28">
      <w:pPr>
        <w:ind w:left="360"/>
        <w:jc w:val="both"/>
        <w:rPr>
          <w:rFonts w:ascii="Verdana" w:hAnsi="Verdana"/>
          <w:sz w:val="20"/>
          <w:szCs w:val="20"/>
        </w:rPr>
      </w:pPr>
    </w:p>
    <w:p w:rsidR="00183E28" w:rsidRDefault="00553A3D" w:rsidP="00183E28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  <w:lang w:eastAsia="en-US"/>
        </w:rPr>
        <w:t xml:space="preserve">Określenie szerokiego zakresu funkcji dopuszczalnych i uzupełniających takich jak: </w:t>
      </w:r>
    </w:p>
    <w:p w:rsidR="00E05334" w:rsidRPr="00183E28" w:rsidRDefault="00553A3D" w:rsidP="00183E28">
      <w:pPr>
        <w:pStyle w:val="Akapitzlist"/>
        <w:numPr>
          <w:ilvl w:val="0"/>
          <w:numId w:val="21"/>
        </w:numPr>
        <w:ind w:left="709"/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parkingów wielopoziomowych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opieki zdrowotnej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i urządzenia rekreacji i sportu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muzealne i ekspozycyjne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hale namiotowe i budynki tymczasowe o charakterze cykli</w:t>
      </w:r>
      <w:r w:rsidR="00E05334" w:rsidRPr="00183E28">
        <w:rPr>
          <w:rFonts w:ascii="Verdana" w:hAnsi="Verdana"/>
          <w:sz w:val="20"/>
          <w:szCs w:val="20"/>
        </w:rPr>
        <w:t>cznym ( targi, zjazdy, kongresy</w:t>
      </w:r>
      <w:r w:rsidRPr="00183E28">
        <w:rPr>
          <w:rFonts w:ascii="Verdana" w:hAnsi="Verdana"/>
          <w:sz w:val="20"/>
          <w:szCs w:val="20"/>
        </w:rPr>
        <w:t>)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przemysłowe – badawcze</w:t>
      </w:r>
    </w:p>
    <w:p w:rsid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 xml:space="preserve">budynki związane z wytwarzaniem </w:t>
      </w:r>
      <w:r w:rsidR="00183E28">
        <w:rPr>
          <w:rFonts w:ascii="Verdana" w:hAnsi="Verdana"/>
          <w:sz w:val="20"/>
          <w:szCs w:val="20"/>
        </w:rPr>
        <w:t>energii (np. z turbin gazowych)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lastRenderedPageBreak/>
        <w:t>budynki infrastruktury ( stacje transformatorowe, rozdzielnie napięcia, węzły ciepłownicze</w:t>
      </w:r>
      <w:r w:rsidR="00E05334" w:rsidRPr="00183E28">
        <w:rPr>
          <w:rFonts w:ascii="Verdana" w:hAnsi="Verdana"/>
          <w:sz w:val="20"/>
          <w:szCs w:val="20"/>
        </w:rPr>
        <w:t>)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infrastruktura związana z urządzeniami transportu personalnego (rowery i</w:t>
      </w:r>
      <w:r w:rsidR="00590F43">
        <w:rPr>
          <w:rFonts w:ascii="Verdana" w:hAnsi="Verdana"/>
          <w:sz w:val="20"/>
          <w:szCs w:val="20"/>
        </w:rPr>
        <w:t> </w:t>
      </w:r>
      <w:r w:rsidRPr="00183E28">
        <w:rPr>
          <w:rFonts w:ascii="Verdana" w:hAnsi="Verdana"/>
          <w:sz w:val="20"/>
          <w:szCs w:val="20"/>
        </w:rPr>
        <w:t>hulajnogi w systemie wewnętrznym)</w:t>
      </w:r>
    </w:p>
    <w:p w:rsidR="00553A3D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stacje ładowania samochodów elektrycznych i urządzeń transportu personalnego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car</w:t>
      </w:r>
      <w:r w:rsidR="00183E28">
        <w:rPr>
          <w:rFonts w:ascii="Verdana" w:hAnsi="Verdana"/>
          <w:sz w:val="20"/>
          <w:szCs w:val="20"/>
        </w:rPr>
        <w:t xml:space="preserve"> </w:t>
      </w:r>
      <w:r w:rsidRPr="00183E28">
        <w:rPr>
          <w:rFonts w:ascii="Verdana" w:hAnsi="Verdana"/>
          <w:sz w:val="20"/>
          <w:szCs w:val="20"/>
        </w:rPr>
        <w:t xml:space="preserve">porty 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mini kopalnia szkoleniowa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lądowiska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wyrzutnie badawcze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maszty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obserwatoria astronomiczne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koleje linowe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tory testowe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Mars Yard, czyli magazyn i tor marsjański,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tor wodny</w:t>
      </w:r>
    </w:p>
    <w:p w:rsidR="00553A3D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tunele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132C1D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Zakwalifikowanie wyznaczanych w Projekcie Planu przewidywanych terenów usługowych jako obszarów zabudowy Śródmiejskiej.</w:t>
      </w:r>
    </w:p>
    <w:p w:rsidR="007B765F" w:rsidRPr="007B765F" w:rsidRDefault="007B765F" w:rsidP="007B765F">
      <w:pPr>
        <w:ind w:left="360"/>
        <w:jc w:val="both"/>
        <w:rPr>
          <w:rFonts w:ascii="Verdana" w:hAnsi="Verdana"/>
          <w:color w:val="FF0000"/>
          <w:sz w:val="20"/>
          <w:szCs w:val="20"/>
        </w:rPr>
      </w:pPr>
      <w:r w:rsidRPr="007B765F">
        <w:rPr>
          <w:rFonts w:ascii="Verdana" w:hAnsi="Verdana"/>
          <w:color w:val="FF0000"/>
          <w:sz w:val="20"/>
          <w:szCs w:val="20"/>
        </w:rPr>
        <w:t>Nie uwzględniono</w:t>
      </w:r>
    </w:p>
    <w:p w:rsidR="00132C1D" w:rsidRDefault="00132C1D" w:rsidP="00132C1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132C1D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Gęstość, lokalizacja, skala i położenie istniejącej zabudowy kampusu świadczy o jej śródmiejskim charakterze. Na terenie kampusu występują przypadki, w których aktualna intensywność zabudowy, usytuowanie historycznych pawilonów względem stron świata, odległości między istniejącymi budynkami, sposób ich użytkowania i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wzajemne oddziaływanie łatwiej poddają się analizie usytuowania w świetle §13 Warunków technicznych w przypadku uznania ich za zabudowę Śródmiejską. 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F40B8C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Dopuszczenie lokalizowania budynków w granicach działek </w:t>
      </w:r>
      <w:r w:rsidR="00F40B8C">
        <w:rPr>
          <w:rFonts w:ascii="Verdana" w:hAnsi="Verdana"/>
          <w:sz w:val="20"/>
          <w:szCs w:val="20"/>
        </w:rPr>
        <w:t>i na styku z innymi budynkami.</w:t>
      </w:r>
    </w:p>
    <w:p w:rsidR="00F40B8C" w:rsidRDefault="00F40B8C" w:rsidP="00F40B8C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F40B8C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 xml:space="preserve">Teren Kampusu AGH wykazuje potencjał rozbudowy budynków, zabudowy plombowej lub uzupełniającej a w niektórych przypadkach budowa przylegających pawilonów stanowi kolejne etapy planowanych inwestycji wielosegmentowych. </w:t>
      </w:r>
      <w:r w:rsidRPr="001F2543">
        <w:rPr>
          <w:rFonts w:ascii="Verdana" w:hAnsi="Verdana"/>
          <w:sz w:val="20"/>
          <w:szCs w:val="20"/>
        </w:rPr>
        <w:br/>
      </w:r>
    </w:p>
    <w:p w:rsidR="00553A3D" w:rsidRPr="007424BE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Odstąpienie od określania dopuszczalnych form architektonicznych i geometrii dachów z uwagi na zróżnicowanie zabudowy istniejącej</w:t>
      </w:r>
    </w:p>
    <w:p w:rsidR="00553A3D" w:rsidRPr="007424BE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7424BE" w:rsidRDefault="00553A3D" w:rsidP="00553A3D">
      <w:p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Obszary (umowne):</w:t>
      </w:r>
    </w:p>
    <w:p w:rsidR="00553A3D" w:rsidRPr="007424BE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Pawilon A-0, Al. Mickiewicza 30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Skwer przy skrzyżowaniu ulic Czarnowiejskiej i Alei Mickiewicza</w:t>
      </w:r>
      <w:r w:rsidRPr="007424BE">
        <w:rPr>
          <w:rFonts w:ascii="Verdana" w:hAnsi="Verdana"/>
          <w:sz w:val="20"/>
          <w:szCs w:val="20"/>
        </w:rPr>
        <w:tab/>
      </w:r>
      <w:r w:rsidRPr="007424BE">
        <w:rPr>
          <w:rFonts w:ascii="Verdana" w:hAnsi="Verdana"/>
          <w:sz w:val="20"/>
          <w:szCs w:val="20"/>
        </w:rPr>
        <w:tab/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od Alei Mickiewicza do drogi wewnętrznej w osi ulicy Stanisława Konarskiego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pomiędzy drogą wewnętrzną w osi ulicy Stanisława Konarskiego a ulicą Akademicką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zabudowy wzdłuż strony północnej ulicy Reymonta, na długości Parku im.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7424BE">
        <w:rPr>
          <w:rFonts w:ascii="Verdana" w:hAnsi="Verdana"/>
          <w:sz w:val="20"/>
          <w:szCs w:val="20"/>
        </w:rPr>
        <w:t>Dr.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7424BE">
        <w:rPr>
          <w:rFonts w:ascii="Verdana" w:hAnsi="Verdana"/>
          <w:sz w:val="20"/>
          <w:szCs w:val="20"/>
        </w:rPr>
        <w:t>Henryka Jordana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pomiędzy ulica Akademicką a ulicą Miechowską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„klina” w zbiegu ulic Czarnowiejskiej i Kawiory, Wydział Informatyki, działka nr 676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działek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7424BE">
        <w:rPr>
          <w:rFonts w:ascii="Verdana" w:hAnsi="Verdana"/>
          <w:sz w:val="20"/>
          <w:szCs w:val="20"/>
        </w:rPr>
        <w:t>660/2, 671, 672, 673/6, 673/8, 673/3, 673/7, 674/3, 674/5, 772/9, 772/30 obręb 4 – Krowodrza, wzdłuż ulicy Kawiory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lastRenderedPageBreak/>
        <w:t>Teren pomiędzy ulicą Miechowską i osią północ – południe ulicy Kawiory</w:t>
      </w:r>
    </w:p>
    <w:p w:rsidR="00553A3D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Miasteczka Studenckiego pomiędzy ulicami Kawiory i Piastowską</w:t>
      </w:r>
      <w:r w:rsidR="00FB78DB">
        <w:rPr>
          <w:rFonts w:ascii="Verdana" w:hAnsi="Verdana"/>
          <w:sz w:val="20"/>
          <w:szCs w:val="20"/>
        </w:rPr>
        <w:t>.</w:t>
      </w:r>
    </w:p>
    <w:p w:rsidR="00740FB7" w:rsidRDefault="00740FB7" w:rsidP="00740FB7">
      <w:pPr>
        <w:jc w:val="both"/>
        <w:rPr>
          <w:rFonts w:ascii="Verdana" w:hAnsi="Verdana"/>
          <w:sz w:val="20"/>
          <w:szCs w:val="20"/>
        </w:rPr>
      </w:pPr>
    </w:p>
    <w:p w:rsidR="00740FB7" w:rsidRDefault="00740FB7" w:rsidP="00740FB7">
      <w:pPr>
        <w:jc w:val="both"/>
        <w:rPr>
          <w:rFonts w:ascii="Verdana" w:hAnsi="Verdana"/>
          <w:sz w:val="20"/>
          <w:szCs w:val="20"/>
        </w:rPr>
      </w:pPr>
    </w:p>
    <w:p w:rsidR="00740FB7" w:rsidRPr="00740FB7" w:rsidRDefault="00740FB7" w:rsidP="00740FB7">
      <w:pPr>
        <w:jc w:val="both"/>
        <w:rPr>
          <w:rFonts w:ascii="Verdana" w:hAnsi="Verdana"/>
          <w:sz w:val="16"/>
          <w:szCs w:val="20"/>
        </w:rPr>
      </w:pPr>
    </w:p>
    <w:p w:rsidR="00740FB7" w:rsidRPr="00740FB7" w:rsidRDefault="00740FB7" w:rsidP="00740FB7">
      <w:pPr>
        <w:jc w:val="both"/>
        <w:rPr>
          <w:rFonts w:ascii="Verdana" w:hAnsi="Verdana"/>
          <w:sz w:val="16"/>
          <w:szCs w:val="20"/>
          <w:u w:val="single"/>
        </w:rPr>
      </w:pPr>
      <w:r w:rsidRPr="00740FB7">
        <w:rPr>
          <w:rFonts w:ascii="Verdana" w:hAnsi="Verdana"/>
          <w:sz w:val="16"/>
          <w:szCs w:val="20"/>
          <w:u w:val="single"/>
        </w:rPr>
        <w:t>Otrzymują:</w:t>
      </w:r>
    </w:p>
    <w:p w:rsidR="00740FB7" w:rsidRPr="00740FB7" w:rsidRDefault="00740FB7" w:rsidP="00740FB7">
      <w:pPr>
        <w:jc w:val="both"/>
        <w:rPr>
          <w:rFonts w:ascii="Verdana" w:hAnsi="Verdana"/>
          <w:sz w:val="16"/>
          <w:szCs w:val="20"/>
        </w:rPr>
      </w:pPr>
      <w:r w:rsidRPr="00740FB7">
        <w:rPr>
          <w:rFonts w:ascii="Verdana" w:hAnsi="Verdana"/>
          <w:sz w:val="16"/>
          <w:szCs w:val="20"/>
        </w:rPr>
        <w:t>- 1x adresat</w:t>
      </w:r>
    </w:p>
    <w:p w:rsidR="00740FB7" w:rsidRPr="00740FB7" w:rsidRDefault="00740FB7" w:rsidP="00740FB7">
      <w:pPr>
        <w:jc w:val="both"/>
        <w:rPr>
          <w:rFonts w:ascii="Verdana" w:hAnsi="Verdana"/>
          <w:sz w:val="16"/>
          <w:szCs w:val="20"/>
        </w:rPr>
      </w:pPr>
      <w:r w:rsidRPr="00740FB7">
        <w:rPr>
          <w:rFonts w:ascii="Verdana" w:hAnsi="Verdana"/>
          <w:sz w:val="16"/>
          <w:szCs w:val="20"/>
        </w:rPr>
        <w:t>- 1x a/a</w:t>
      </w:r>
    </w:p>
    <w:sectPr w:rsidR="00740FB7" w:rsidRPr="00740FB7" w:rsidSect="00FE0B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86" w:right="1134" w:bottom="1276" w:left="2127" w:header="545" w:footer="5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8A0" w:rsidRDefault="00DB38A0">
      <w:r>
        <w:separator/>
      </w:r>
    </w:p>
  </w:endnote>
  <w:endnote w:type="continuationSeparator" w:id="0">
    <w:p w:rsidR="00DB38A0" w:rsidRDefault="00DB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20"/>
      </w:rPr>
      <w:id w:val="-685434927"/>
      <w:docPartObj>
        <w:docPartGallery w:val="Page Numbers (Bottom of Page)"/>
        <w:docPartUnique/>
      </w:docPartObj>
    </w:sdtPr>
    <w:sdtEndPr/>
    <w:sdtContent>
      <w:p w:rsidR="00FE0BD0" w:rsidRPr="00FE0BD0" w:rsidRDefault="00FE0BD0">
        <w:pPr>
          <w:pStyle w:val="Stopka"/>
          <w:jc w:val="center"/>
          <w:rPr>
            <w:rFonts w:ascii="Verdana" w:hAnsi="Verdana"/>
            <w:sz w:val="20"/>
          </w:rPr>
        </w:pPr>
        <w:r w:rsidRPr="00FE0BD0">
          <w:rPr>
            <w:rFonts w:ascii="Verdana" w:hAnsi="Verdana"/>
            <w:sz w:val="20"/>
          </w:rPr>
          <w:fldChar w:fldCharType="begin"/>
        </w:r>
        <w:r w:rsidRPr="00FE0BD0">
          <w:rPr>
            <w:rFonts w:ascii="Verdana" w:hAnsi="Verdana"/>
            <w:sz w:val="20"/>
          </w:rPr>
          <w:instrText>PAGE   \* MERGEFORMAT</w:instrText>
        </w:r>
        <w:r w:rsidRPr="00FE0BD0">
          <w:rPr>
            <w:rFonts w:ascii="Verdana" w:hAnsi="Verdana"/>
            <w:sz w:val="20"/>
          </w:rPr>
          <w:fldChar w:fldCharType="separate"/>
        </w:r>
        <w:r w:rsidR="000B2D99">
          <w:rPr>
            <w:rFonts w:ascii="Verdana" w:hAnsi="Verdana"/>
            <w:noProof/>
            <w:sz w:val="20"/>
          </w:rPr>
          <w:t>3</w:t>
        </w:r>
        <w:r w:rsidRPr="00FE0BD0">
          <w:rPr>
            <w:rFonts w:ascii="Verdana" w:hAnsi="Verdana"/>
            <w:sz w:val="20"/>
          </w:rPr>
          <w:fldChar w:fldCharType="end"/>
        </w:r>
      </w:p>
    </w:sdtContent>
  </w:sdt>
  <w:p w:rsidR="00FE0BD0" w:rsidRDefault="00FE0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74" w:rsidRDefault="00231AD2" w:rsidP="00567ACB">
    <w:pPr>
      <w:pStyle w:val="Stopka"/>
      <w:spacing w:line="276" w:lineRule="auto"/>
      <w:rPr>
        <w:rFonts w:ascii="Verdana" w:hAnsi="Verdana" w:cs="Arial"/>
        <w:b/>
        <w:sz w:val="14"/>
        <w:szCs w:val="14"/>
      </w:rPr>
    </w:pPr>
    <w:r w:rsidRPr="00987D98">
      <w:rPr>
        <w:rFonts w:ascii="Verdana" w:hAnsi="Verdana" w:cs="Arial"/>
        <w:b/>
        <w:sz w:val="14"/>
        <w:szCs w:val="14"/>
      </w:rPr>
      <w:t xml:space="preserve">Akademia Górniczo–Hutnicza </w:t>
    </w:r>
    <w:r w:rsidR="00567ACB">
      <w:rPr>
        <w:rFonts w:ascii="Verdana" w:hAnsi="Verdana" w:cs="Arial"/>
        <w:b/>
        <w:sz w:val="14"/>
        <w:szCs w:val="14"/>
      </w:rPr>
      <w:t>im. Stanisława Staszica w Krakowie</w:t>
    </w:r>
    <w:r w:rsidR="009F16EC">
      <w:rPr>
        <w:rFonts w:ascii="Verdana" w:hAnsi="Verdana" w:cs="Arial"/>
        <w:b/>
        <w:sz w:val="14"/>
        <w:szCs w:val="14"/>
      </w:rPr>
      <w:tab/>
    </w:r>
  </w:p>
  <w:p w:rsidR="00980EB3" w:rsidRDefault="00980EB3" w:rsidP="00980EB3">
    <w:pPr>
      <w:pStyle w:val="Stopka"/>
      <w:spacing w:line="276" w:lineRule="auto"/>
      <w:rPr>
        <w:rFonts w:ascii="Verdana" w:hAnsi="Verdana"/>
        <w:sz w:val="14"/>
        <w:szCs w:val="14"/>
        <w:lang w:val="de-DE"/>
      </w:rPr>
    </w:pPr>
    <w:r>
      <w:rPr>
        <w:rFonts w:ascii="Verdana" w:hAnsi="Verdana" w:cs="Arial"/>
        <w:sz w:val="14"/>
        <w:szCs w:val="14"/>
      </w:rPr>
      <w:t>Al. Mickiewicza 30</w:t>
    </w:r>
    <w:r w:rsidRPr="00987D98">
      <w:rPr>
        <w:rFonts w:ascii="Verdana" w:hAnsi="Verdana" w:cs="Arial"/>
        <w:sz w:val="14"/>
        <w:szCs w:val="14"/>
      </w:rPr>
      <w:t xml:space="preserve">, 30–059 Kraków, tel. </w:t>
    </w:r>
    <w:r>
      <w:rPr>
        <w:rFonts w:ascii="Verdana" w:hAnsi="Verdana" w:cs="Arial"/>
        <w:sz w:val="14"/>
        <w:szCs w:val="14"/>
      </w:rPr>
      <w:t>12 617 33</w:t>
    </w:r>
    <w:r w:rsidRPr="00850F90">
      <w:rPr>
        <w:rFonts w:ascii="Verdana" w:hAnsi="Verdana" w:cs="Arial"/>
        <w:sz w:val="14"/>
        <w:szCs w:val="14"/>
      </w:rPr>
      <w:t> 6</w:t>
    </w:r>
    <w:r>
      <w:rPr>
        <w:rFonts w:ascii="Verdana" w:hAnsi="Verdana" w:cs="Arial"/>
        <w:sz w:val="14"/>
        <w:szCs w:val="14"/>
      </w:rPr>
      <w:t>6</w:t>
    </w:r>
    <w:r w:rsidRPr="00987D98">
      <w:rPr>
        <w:rFonts w:ascii="Verdana" w:hAnsi="Verdana"/>
        <w:sz w:val="14"/>
        <w:szCs w:val="14"/>
        <w:lang w:val="de-DE"/>
      </w:rPr>
      <w:t xml:space="preserve"> </w:t>
    </w:r>
  </w:p>
  <w:p w:rsidR="00980EB3" w:rsidRPr="00EB3C88" w:rsidRDefault="00980EB3" w:rsidP="00980EB3">
    <w:pPr>
      <w:pStyle w:val="Stopka"/>
      <w:spacing w:line="276" w:lineRule="aut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Nr rachunku PEKAO S.A. 96 1240 4722 1111 0000 4858 2922</w:t>
    </w:r>
  </w:p>
  <w:p w:rsidR="00231AD2" w:rsidRPr="00987D98" w:rsidRDefault="00980EB3" w:rsidP="00980EB3">
    <w:pPr>
      <w:pStyle w:val="Stopka"/>
      <w:spacing w:line="276" w:lineRule="aut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REGON 000001577, NIP 6750001923</w:t>
    </w:r>
    <w:r w:rsidRPr="00850F90">
      <w:rPr>
        <w:rFonts w:ascii="Verdana" w:hAnsi="Verdana" w:cs="Arial"/>
        <w:sz w:val="14"/>
        <w:szCs w:val="14"/>
      </w:rPr>
      <w:t xml:space="preserve">, </w:t>
    </w:r>
    <w:r w:rsidRPr="00EB3C88">
      <w:rPr>
        <w:rFonts w:ascii="Verdana" w:hAnsi="Verdana"/>
        <w:sz w:val="14"/>
        <w:szCs w:val="14"/>
        <w:lang w:val="de-DE"/>
      </w:rPr>
      <w:t>www.agh.edu.pl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8A0" w:rsidRDefault="00DB38A0">
      <w:r>
        <w:separator/>
      </w:r>
    </w:p>
  </w:footnote>
  <w:footnote w:type="continuationSeparator" w:id="0">
    <w:p w:rsidR="00DB38A0" w:rsidRDefault="00DB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D2" w:rsidRDefault="00680B07" w:rsidP="00F24CF3">
    <w:pPr>
      <w:pStyle w:val="Nagwek"/>
      <w:ind w:hanging="1560"/>
    </w:pPr>
    <w:r w:rsidRPr="00F24CF3">
      <w:rPr>
        <w:noProof/>
        <w:lang w:val="pl-PL" w:eastAsia="pl-PL"/>
      </w:rPr>
      <w:drawing>
        <wp:inline distT="0" distB="0" distL="0" distR="0">
          <wp:extent cx="523875" cy="1019175"/>
          <wp:effectExtent l="0" t="0" r="9525" b="9525"/>
          <wp:docPr id="6" name="Obraz 6" descr="logo agh ory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h ory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D2" w:rsidRDefault="000816DF" w:rsidP="00CE4383">
    <w:pPr>
      <w:pStyle w:val="Nagwek"/>
      <w:tabs>
        <w:tab w:val="clear" w:pos="9072"/>
        <w:tab w:val="right" w:pos="7371"/>
      </w:tabs>
      <w:ind w:hanging="1456"/>
      <w:rPr>
        <w:rFonts w:ascii="Verdana" w:hAnsi="Verdana"/>
        <w:noProof/>
        <w:sz w:val="26"/>
        <w:szCs w:val="26"/>
      </w:rPr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3296920</wp:posOffset>
              </wp:positionH>
              <wp:positionV relativeFrom="paragraph">
                <wp:posOffset>25400</wp:posOffset>
              </wp:positionV>
              <wp:extent cx="2600325" cy="369570"/>
              <wp:effectExtent l="0" t="0" r="28575" b="1143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004C" w:rsidRPr="00E705AD" w:rsidRDefault="0056004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59.6pt;margin-top:2pt;width:204.75pt;height:29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" strokecolor="white">
              <v:textbox>
                <w:txbxContent>
                  <w:p w:rsidR="0056004C" w:rsidRPr="00E705AD" w:rsidRDefault="0056004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80B07" w:rsidRPr="00CE4383">
      <w:rPr>
        <w:rFonts w:ascii="Verdana" w:hAnsi="Verdana"/>
        <w:noProof/>
        <w:sz w:val="26"/>
        <w:szCs w:val="26"/>
        <w:lang w:val="pl-PL" w:eastAsia="pl-PL"/>
      </w:rPr>
      <w:drawing>
        <wp:inline distT="0" distB="0" distL="0" distR="0">
          <wp:extent cx="2657475" cy="1362075"/>
          <wp:effectExtent l="0" t="0" r="9525" b="9525"/>
          <wp:docPr id="7" name="Obraz 1" descr="D:\Documents and Settings\martineez\Pulpit\logo agh firmó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Documents and Settings\martineez\Pulpit\logo agh firmó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004C">
      <w:rPr>
        <w:rFonts w:ascii="Verdana" w:hAnsi="Verdana"/>
        <w:noProof/>
        <w:sz w:val="26"/>
        <w:szCs w:val="26"/>
      </w:rPr>
      <w:tab/>
    </w:r>
    <w:r w:rsidR="0056004C">
      <w:rPr>
        <w:rFonts w:ascii="Verdana" w:hAnsi="Verdana"/>
        <w:noProof/>
        <w:sz w:val="26"/>
        <w:szCs w:val="26"/>
      </w:rPr>
      <w:tab/>
    </w:r>
  </w:p>
  <w:p w:rsidR="00231AD2" w:rsidRDefault="00231AD2" w:rsidP="0090702D">
    <w:pPr>
      <w:pStyle w:val="Nagwek"/>
      <w:tabs>
        <w:tab w:val="clear" w:pos="9072"/>
        <w:tab w:val="right" w:pos="7371"/>
      </w:tabs>
      <w:ind w:hanging="1560"/>
      <w:rPr>
        <w:rFonts w:ascii="Verdana" w:hAnsi="Verdana"/>
        <w:noProof/>
        <w:sz w:val="26"/>
        <w:szCs w:val="26"/>
      </w:rPr>
    </w:pPr>
  </w:p>
  <w:p w:rsidR="00231AD2" w:rsidRPr="0056004C" w:rsidRDefault="00231AD2" w:rsidP="000C1C1E">
    <w:pPr>
      <w:pStyle w:val="Nagwek"/>
      <w:tabs>
        <w:tab w:val="clear" w:pos="9072"/>
        <w:tab w:val="right" w:pos="7371"/>
      </w:tabs>
      <w:rPr>
        <w:rFonts w:ascii="Verdana" w:hAnsi="Verdana"/>
        <w:color w:val="808080"/>
        <w:sz w:val="22"/>
        <w:szCs w:val="26"/>
      </w:rPr>
    </w:pPr>
    <w:r>
      <w:rPr>
        <w:rFonts w:ascii="Verdana" w:hAnsi="Verdana"/>
        <w:sz w:val="26"/>
        <w:szCs w:val="26"/>
      </w:rPr>
      <w:t>Pion Kanclerza</w:t>
    </w:r>
    <w:r w:rsidR="0056004C" w:rsidRPr="0056004C">
      <w:rPr>
        <w:rFonts w:ascii="Verdana" w:hAnsi="Verdana"/>
        <w:noProof/>
        <w:sz w:val="26"/>
        <w:szCs w:val="26"/>
      </w:rPr>
      <w:t xml:space="preserve"> </w:t>
    </w:r>
    <w:r w:rsidR="0056004C">
      <w:rPr>
        <w:rFonts w:ascii="Verdana" w:hAnsi="Verdana"/>
        <w:noProof/>
        <w:sz w:val="26"/>
        <w:szCs w:val="26"/>
      </w:rPr>
      <w:tab/>
    </w:r>
    <w:r w:rsidR="0056004C">
      <w:rPr>
        <w:rFonts w:ascii="Verdana" w:hAnsi="Verdana"/>
        <w:noProof/>
        <w:sz w:val="26"/>
        <w:szCs w:val="26"/>
      </w:rPr>
      <w:tab/>
    </w:r>
  </w:p>
  <w:p w:rsidR="00680ACD" w:rsidRDefault="0056004C" w:rsidP="00022C74">
    <w:pPr>
      <w:pStyle w:val="Nagwek"/>
      <w:tabs>
        <w:tab w:val="clear" w:pos="9072"/>
        <w:tab w:val="right" w:pos="7371"/>
      </w:tabs>
      <w:rPr>
        <w:rFonts w:ascii="Verdana" w:hAnsi="Verdana"/>
        <w:noProof/>
        <w:sz w:val="26"/>
        <w:szCs w:val="26"/>
      </w:rPr>
    </w:pPr>
    <w:r>
      <w:rPr>
        <w:rFonts w:ascii="Verdana" w:hAnsi="Verdana"/>
        <w:noProof/>
        <w:sz w:val="26"/>
        <w:szCs w:val="26"/>
      </w:rPr>
      <w:tab/>
    </w:r>
  </w:p>
  <w:p w:rsidR="00231AD2" w:rsidRDefault="0056004C" w:rsidP="000C1C1E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  <w:r>
      <w:rPr>
        <w:rFonts w:ascii="Verdana" w:hAnsi="Verdana"/>
        <w:noProof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3A98"/>
    <w:multiLevelType w:val="hybridMultilevel"/>
    <w:tmpl w:val="489E5108"/>
    <w:lvl w:ilvl="0" w:tplc="C46622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B2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82530A"/>
    <w:multiLevelType w:val="hybridMultilevel"/>
    <w:tmpl w:val="D5DA9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F73AA"/>
    <w:multiLevelType w:val="hybridMultilevel"/>
    <w:tmpl w:val="3C9C99FE"/>
    <w:lvl w:ilvl="0" w:tplc="48569D8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FF4BEA"/>
    <w:multiLevelType w:val="hybridMultilevel"/>
    <w:tmpl w:val="149AB710"/>
    <w:lvl w:ilvl="0" w:tplc="8ED2A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97B18"/>
    <w:multiLevelType w:val="hybridMultilevel"/>
    <w:tmpl w:val="DACA08D4"/>
    <w:lvl w:ilvl="0" w:tplc="ECE0E1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75410"/>
    <w:multiLevelType w:val="hybridMultilevel"/>
    <w:tmpl w:val="60A8693A"/>
    <w:lvl w:ilvl="0" w:tplc="4998C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06E10"/>
    <w:multiLevelType w:val="hybridMultilevel"/>
    <w:tmpl w:val="0FF2374A"/>
    <w:lvl w:ilvl="0" w:tplc="906AC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C787C"/>
    <w:multiLevelType w:val="hybridMultilevel"/>
    <w:tmpl w:val="A84E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39E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5C3F7A"/>
    <w:multiLevelType w:val="hybridMultilevel"/>
    <w:tmpl w:val="55BA17C0"/>
    <w:lvl w:ilvl="0" w:tplc="CBB684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6B3B"/>
    <w:multiLevelType w:val="hybridMultilevel"/>
    <w:tmpl w:val="F1C6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142C"/>
    <w:multiLevelType w:val="hybridMultilevel"/>
    <w:tmpl w:val="35FA0FE0"/>
    <w:lvl w:ilvl="0" w:tplc="2CC62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16D2E"/>
    <w:multiLevelType w:val="hybridMultilevel"/>
    <w:tmpl w:val="7E1A2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95AB9"/>
    <w:multiLevelType w:val="hybridMultilevel"/>
    <w:tmpl w:val="B282BF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46D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D34E8A"/>
    <w:multiLevelType w:val="singleLevel"/>
    <w:tmpl w:val="AEDA6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292A9C"/>
    <w:multiLevelType w:val="hybridMultilevel"/>
    <w:tmpl w:val="D49E56D8"/>
    <w:lvl w:ilvl="0" w:tplc="C46622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E0A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8B62EC"/>
    <w:multiLevelType w:val="hybridMultilevel"/>
    <w:tmpl w:val="92B22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06B24"/>
    <w:multiLevelType w:val="hybridMultilevel"/>
    <w:tmpl w:val="4AAE45CE"/>
    <w:lvl w:ilvl="0" w:tplc="C466229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0A43E3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9"/>
  </w:num>
  <w:num w:numId="18">
    <w:abstractNumId w:val="1"/>
  </w:num>
  <w:num w:numId="19">
    <w:abstractNumId w:val="21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B7"/>
    <w:rsid w:val="00002860"/>
    <w:rsid w:val="000057C8"/>
    <w:rsid w:val="0000692D"/>
    <w:rsid w:val="000125EE"/>
    <w:rsid w:val="000131FF"/>
    <w:rsid w:val="000142D1"/>
    <w:rsid w:val="00014FF6"/>
    <w:rsid w:val="000150D8"/>
    <w:rsid w:val="0001766B"/>
    <w:rsid w:val="000218CE"/>
    <w:rsid w:val="00021D6B"/>
    <w:rsid w:val="00022BB8"/>
    <w:rsid w:val="00022C74"/>
    <w:rsid w:val="000234FB"/>
    <w:rsid w:val="00025E77"/>
    <w:rsid w:val="0003182D"/>
    <w:rsid w:val="00033C54"/>
    <w:rsid w:val="0003458A"/>
    <w:rsid w:val="000369E1"/>
    <w:rsid w:val="00036CD6"/>
    <w:rsid w:val="00041A0B"/>
    <w:rsid w:val="00046081"/>
    <w:rsid w:val="000466B3"/>
    <w:rsid w:val="00046827"/>
    <w:rsid w:val="0004792F"/>
    <w:rsid w:val="00051185"/>
    <w:rsid w:val="00051AB4"/>
    <w:rsid w:val="00051E99"/>
    <w:rsid w:val="00053B0B"/>
    <w:rsid w:val="00057D56"/>
    <w:rsid w:val="0006036B"/>
    <w:rsid w:val="00061FCA"/>
    <w:rsid w:val="000622B8"/>
    <w:rsid w:val="00062EB5"/>
    <w:rsid w:val="00063BCE"/>
    <w:rsid w:val="0006501C"/>
    <w:rsid w:val="00065056"/>
    <w:rsid w:val="000658B6"/>
    <w:rsid w:val="00065A7F"/>
    <w:rsid w:val="00065A97"/>
    <w:rsid w:val="00070EAC"/>
    <w:rsid w:val="00073419"/>
    <w:rsid w:val="000761F3"/>
    <w:rsid w:val="00077784"/>
    <w:rsid w:val="00080302"/>
    <w:rsid w:val="000816DF"/>
    <w:rsid w:val="00082020"/>
    <w:rsid w:val="00082391"/>
    <w:rsid w:val="00084907"/>
    <w:rsid w:val="00084C37"/>
    <w:rsid w:val="00084EFF"/>
    <w:rsid w:val="0008732E"/>
    <w:rsid w:val="00095052"/>
    <w:rsid w:val="0009565B"/>
    <w:rsid w:val="00096832"/>
    <w:rsid w:val="0009722A"/>
    <w:rsid w:val="000A7A66"/>
    <w:rsid w:val="000B2D99"/>
    <w:rsid w:val="000B304D"/>
    <w:rsid w:val="000B4102"/>
    <w:rsid w:val="000B44AB"/>
    <w:rsid w:val="000B533C"/>
    <w:rsid w:val="000C0416"/>
    <w:rsid w:val="000C1C1E"/>
    <w:rsid w:val="000C32DC"/>
    <w:rsid w:val="000D05B5"/>
    <w:rsid w:val="000D0949"/>
    <w:rsid w:val="000D143F"/>
    <w:rsid w:val="000D29B1"/>
    <w:rsid w:val="000D6F2D"/>
    <w:rsid w:val="000D77BC"/>
    <w:rsid w:val="000E0AEA"/>
    <w:rsid w:val="000E1794"/>
    <w:rsid w:val="000E3017"/>
    <w:rsid w:val="000E41BF"/>
    <w:rsid w:val="000E4F58"/>
    <w:rsid w:val="000F093D"/>
    <w:rsid w:val="000F74C4"/>
    <w:rsid w:val="000F7EB8"/>
    <w:rsid w:val="000F7F1E"/>
    <w:rsid w:val="00103A80"/>
    <w:rsid w:val="00110437"/>
    <w:rsid w:val="00110B5A"/>
    <w:rsid w:val="00112F9A"/>
    <w:rsid w:val="001135E6"/>
    <w:rsid w:val="00114D8A"/>
    <w:rsid w:val="00116EA4"/>
    <w:rsid w:val="001235DB"/>
    <w:rsid w:val="00123B92"/>
    <w:rsid w:val="001243F4"/>
    <w:rsid w:val="00124E85"/>
    <w:rsid w:val="00132C1D"/>
    <w:rsid w:val="00133122"/>
    <w:rsid w:val="00136920"/>
    <w:rsid w:val="00136995"/>
    <w:rsid w:val="0014182F"/>
    <w:rsid w:val="00142BAF"/>
    <w:rsid w:val="001433E7"/>
    <w:rsid w:val="00145A9A"/>
    <w:rsid w:val="00146FD8"/>
    <w:rsid w:val="00155FAB"/>
    <w:rsid w:val="00156C80"/>
    <w:rsid w:val="00160E9C"/>
    <w:rsid w:val="00161E5F"/>
    <w:rsid w:val="00161E6D"/>
    <w:rsid w:val="0016384C"/>
    <w:rsid w:val="00165D28"/>
    <w:rsid w:val="00166EDE"/>
    <w:rsid w:val="00167DFD"/>
    <w:rsid w:val="001730A1"/>
    <w:rsid w:val="00176658"/>
    <w:rsid w:val="00176B9B"/>
    <w:rsid w:val="001816A5"/>
    <w:rsid w:val="00182443"/>
    <w:rsid w:val="00183E28"/>
    <w:rsid w:val="00184972"/>
    <w:rsid w:val="00184AEB"/>
    <w:rsid w:val="00186420"/>
    <w:rsid w:val="00187E9E"/>
    <w:rsid w:val="00187F69"/>
    <w:rsid w:val="00190542"/>
    <w:rsid w:val="001908A1"/>
    <w:rsid w:val="00191AB1"/>
    <w:rsid w:val="00192C2A"/>
    <w:rsid w:val="00192E6B"/>
    <w:rsid w:val="0019383C"/>
    <w:rsid w:val="00194632"/>
    <w:rsid w:val="00195F06"/>
    <w:rsid w:val="001969DB"/>
    <w:rsid w:val="00196A48"/>
    <w:rsid w:val="00196C05"/>
    <w:rsid w:val="00197040"/>
    <w:rsid w:val="001979A7"/>
    <w:rsid w:val="001A1064"/>
    <w:rsid w:val="001A2E95"/>
    <w:rsid w:val="001A45AC"/>
    <w:rsid w:val="001A70AA"/>
    <w:rsid w:val="001A7E34"/>
    <w:rsid w:val="001B1183"/>
    <w:rsid w:val="001B1BA6"/>
    <w:rsid w:val="001C259B"/>
    <w:rsid w:val="001C45B0"/>
    <w:rsid w:val="001C53C8"/>
    <w:rsid w:val="001C7D30"/>
    <w:rsid w:val="001D2EAA"/>
    <w:rsid w:val="001D6BB2"/>
    <w:rsid w:val="001D7D0D"/>
    <w:rsid w:val="001E0C0A"/>
    <w:rsid w:val="001E177A"/>
    <w:rsid w:val="001E22C3"/>
    <w:rsid w:val="001E2A84"/>
    <w:rsid w:val="001E3F2F"/>
    <w:rsid w:val="001E6199"/>
    <w:rsid w:val="001F2543"/>
    <w:rsid w:val="001F33AB"/>
    <w:rsid w:val="001F5F6A"/>
    <w:rsid w:val="00201125"/>
    <w:rsid w:val="00201F35"/>
    <w:rsid w:val="002020D2"/>
    <w:rsid w:val="002025B7"/>
    <w:rsid w:val="00204671"/>
    <w:rsid w:val="002051F2"/>
    <w:rsid w:val="00205593"/>
    <w:rsid w:val="002061ED"/>
    <w:rsid w:val="002070DA"/>
    <w:rsid w:val="0021141C"/>
    <w:rsid w:val="002119D4"/>
    <w:rsid w:val="00211D74"/>
    <w:rsid w:val="00213160"/>
    <w:rsid w:val="00217631"/>
    <w:rsid w:val="002176FA"/>
    <w:rsid w:val="00222887"/>
    <w:rsid w:val="002232EE"/>
    <w:rsid w:val="00227E27"/>
    <w:rsid w:val="0023141E"/>
    <w:rsid w:val="00231AD2"/>
    <w:rsid w:val="00233BF8"/>
    <w:rsid w:val="00240493"/>
    <w:rsid w:val="002411CB"/>
    <w:rsid w:val="002422A4"/>
    <w:rsid w:val="00244B3F"/>
    <w:rsid w:val="00244C1D"/>
    <w:rsid w:val="00245F00"/>
    <w:rsid w:val="00246D51"/>
    <w:rsid w:val="00247607"/>
    <w:rsid w:val="00250D8F"/>
    <w:rsid w:val="00254D4A"/>
    <w:rsid w:val="00254FE2"/>
    <w:rsid w:val="00260AF4"/>
    <w:rsid w:val="00260B40"/>
    <w:rsid w:val="00263A16"/>
    <w:rsid w:val="00263F5F"/>
    <w:rsid w:val="00265BC6"/>
    <w:rsid w:val="00267E71"/>
    <w:rsid w:val="002705A9"/>
    <w:rsid w:val="00271B2B"/>
    <w:rsid w:val="00271D48"/>
    <w:rsid w:val="00275428"/>
    <w:rsid w:val="002761FA"/>
    <w:rsid w:val="0028066B"/>
    <w:rsid w:val="002821C8"/>
    <w:rsid w:val="00283093"/>
    <w:rsid w:val="002830BB"/>
    <w:rsid w:val="002834BC"/>
    <w:rsid w:val="00283BB4"/>
    <w:rsid w:val="002843D0"/>
    <w:rsid w:val="002849BE"/>
    <w:rsid w:val="0028554D"/>
    <w:rsid w:val="002902F1"/>
    <w:rsid w:val="00291744"/>
    <w:rsid w:val="002936F0"/>
    <w:rsid w:val="002949D1"/>
    <w:rsid w:val="00294B35"/>
    <w:rsid w:val="00296015"/>
    <w:rsid w:val="00297610"/>
    <w:rsid w:val="002A16FC"/>
    <w:rsid w:val="002A2EAB"/>
    <w:rsid w:val="002A306E"/>
    <w:rsid w:val="002A3C6C"/>
    <w:rsid w:val="002A72A0"/>
    <w:rsid w:val="002B17E5"/>
    <w:rsid w:val="002B28DA"/>
    <w:rsid w:val="002B4E5E"/>
    <w:rsid w:val="002B7049"/>
    <w:rsid w:val="002C1982"/>
    <w:rsid w:val="002C3638"/>
    <w:rsid w:val="002C3EA7"/>
    <w:rsid w:val="002C74C9"/>
    <w:rsid w:val="002C7F3E"/>
    <w:rsid w:val="002D32BA"/>
    <w:rsid w:val="002E0D16"/>
    <w:rsid w:val="002E5911"/>
    <w:rsid w:val="002E64CE"/>
    <w:rsid w:val="002F0958"/>
    <w:rsid w:val="002F10A7"/>
    <w:rsid w:val="002F46E6"/>
    <w:rsid w:val="00300796"/>
    <w:rsid w:val="0030094F"/>
    <w:rsid w:val="00304744"/>
    <w:rsid w:val="003050AA"/>
    <w:rsid w:val="00320560"/>
    <w:rsid w:val="00330413"/>
    <w:rsid w:val="0033540B"/>
    <w:rsid w:val="00340347"/>
    <w:rsid w:val="0034205C"/>
    <w:rsid w:val="00347874"/>
    <w:rsid w:val="003504FE"/>
    <w:rsid w:val="00354E1B"/>
    <w:rsid w:val="00356972"/>
    <w:rsid w:val="0036226F"/>
    <w:rsid w:val="00364BB4"/>
    <w:rsid w:val="003664BE"/>
    <w:rsid w:val="0036680C"/>
    <w:rsid w:val="0036789B"/>
    <w:rsid w:val="003712F2"/>
    <w:rsid w:val="003717B1"/>
    <w:rsid w:val="0037240B"/>
    <w:rsid w:val="00373037"/>
    <w:rsid w:val="00373762"/>
    <w:rsid w:val="0037496D"/>
    <w:rsid w:val="0037601C"/>
    <w:rsid w:val="00385445"/>
    <w:rsid w:val="0038635F"/>
    <w:rsid w:val="00387D94"/>
    <w:rsid w:val="00390E8C"/>
    <w:rsid w:val="00393635"/>
    <w:rsid w:val="00396A38"/>
    <w:rsid w:val="0039785D"/>
    <w:rsid w:val="0039787E"/>
    <w:rsid w:val="003A1D55"/>
    <w:rsid w:val="003A1DC5"/>
    <w:rsid w:val="003A3163"/>
    <w:rsid w:val="003A3E24"/>
    <w:rsid w:val="003A43E7"/>
    <w:rsid w:val="003A45FD"/>
    <w:rsid w:val="003A646F"/>
    <w:rsid w:val="003B51C5"/>
    <w:rsid w:val="003B630E"/>
    <w:rsid w:val="003B67D3"/>
    <w:rsid w:val="003C4D3F"/>
    <w:rsid w:val="003C5641"/>
    <w:rsid w:val="003C60BA"/>
    <w:rsid w:val="003C63D7"/>
    <w:rsid w:val="003C7409"/>
    <w:rsid w:val="003D21EC"/>
    <w:rsid w:val="003D550B"/>
    <w:rsid w:val="003D7BC9"/>
    <w:rsid w:val="003E183A"/>
    <w:rsid w:val="003E2579"/>
    <w:rsid w:val="003E57A5"/>
    <w:rsid w:val="003E6C26"/>
    <w:rsid w:val="003F1EC4"/>
    <w:rsid w:val="003F206D"/>
    <w:rsid w:val="003F235A"/>
    <w:rsid w:val="003F4914"/>
    <w:rsid w:val="00401C7C"/>
    <w:rsid w:val="00401ECC"/>
    <w:rsid w:val="00402668"/>
    <w:rsid w:val="00404792"/>
    <w:rsid w:val="0040551A"/>
    <w:rsid w:val="00406A4E"/>
    <w:rsid w:val="00407A8D"/>
    <w:rsid w:val="00407B1F"/>
    <w:rsid w:val="0041054F"/>
    <w:rsid w:val="00414629"/>
    <w:rsid w:val="00415A72"/>
    <w:rsid w:val="0041683D"/>
    <w:rsid w:val="004207FF"/>
    <w:rsid w:val="004258EE"/>
    <w:rsid w:val="004332D2"/>
    <w:rsid w:val="00434602"/>
    <w:rsid w:val="00435814"/>
    <w:rsid w:val="0044121B"/>
    <w:rsid w:val="004413AB"/>
    <w:rsid w:val="00445113"/>
    <w:rsid w:val="00446C2A"/>
    <w:rsid w:val="00446F53"/>
    <w:rsid w:val="00450A4F"/>
    <w:rsid w:val="004538A6"/>
    <w:rsid w:val="00453D66"/>
    <w:rsid w:val="0045493D"/>
    <w:rsid w:val="00455994"/>
    <w:rsid w:val="0045740D"/>
    <w:rsid w:val="00457755"/>
    <w:rsid w:val="00462BBF"/>
    <w:rsid w:val="00465C67"/>
    <w:rsid w:val="004660CD"/>
    <w:rsid w:val="00466B6E"/>
    <w:rsid w:val="00470E43"/>
    <w:rsid w:val="00472D32"/>
    <w:rsid w:val="00473E68"/>
    <w:rsid w:val="00475789"/>
    <w:rsid w:val="0047584C"/>
    <w:rsid w:val="0048057A"/>
    <w:rsid w:val="004807E3"/>
    <w:rsid w:val="00480D23"/>
    <w:rsid w:val="0048288D"/>
    <w:rsid w:val="00484352"/>
    <w:rsid w:val="00486A33"/>
    <w:rsid w:val="0049038F"/>
    <w:rsid w:val="00490751"/>
    <w:rsid w:val="00490796"/>
    <w:rsid w:val="004936EC"/>
    <w:rsid w:val="00493A41"/>
    <w:rsid w:val="00495607"/>
    <w:rsid w:val="00495EBF"/>
    <w:rsid w:val="00496B27"/>
    <w:rsid w:val="00496EED"/>
    <w:rsid w:val="00497B47"/>
    <w:rsid w:val="004A3BC7"/>
    <w:rsid w:val="004A3FD1"/>
    <w:rsid w:val="004A4318"/>
    <w:rsid w:val="004A690F"/>
    <w:rsid w:val="004A6AE0"/>
    <w:rsid w:val="004B0818"/>
    <w:rsid w:val="004B2F65"/>
    <w:rsid w:val="004B3149"/>
    <w:rsid w:val="004B4031"/>
    <w:rsid w:val="004C1025"/>
    <w:rsid w:val="004C19B0"/>
    <w:rsid w:val="004C342D"/>
    <w:rsid w:val="004C55D1"/>
    <w:rsid w:val="004C62D1"/>
    <w:rsid w:val="004C6D46"/>
    <w:rsid w:val="004C7074"/>
    <w:rsid w:val="004D1237"/>
    <w:rsid w:val="004D2F1C"/>
    <w:rsid w:val="004D2FEC"/>
    <w:rsid w:val="004D3122"/>
    <w:rsid w:val="004D3479"/>
    <w:rsid w:val="004D4B42"/>
    <w:rsid w:val="004E0F4D"/>
    <w:rsid w:val="004E2861"/>
    <w:rsid w:val="004E4C0F"/>
    <w:rsid w:val="004E4FE1"/>
    <w:rsid w:val="004E606C"/>
    <w:rsid w:val="004F154E"/>
    <w:rsid w:val="004F44C5"/>
    <w:rsid w:val="004F59D9"/>
    <w:rsid w:val="0050332F"/>
    <w:rsid w:val="00503C92"/>
    <w:rsid w:val="00504AEB"/>
    <w:rsid w:val="005050BC"/>
    <w:rsid w:val="005050ED"/>
    <w:rsid w:val="00506FBE"/>
    <w:rsid w:val="00512699"/>
    <w:rsid w:val="0051338C"/>
    <w:rsid w:val="005143AE"/>
    <w:rsid w:val="0051487F"/>
    <w:rsid w:val="00514BF8"/>
    <w:rsid w:val="0052230D"/>
    <w:rsid w:val="005240FD"/>
    <w:rsid w:val="005271BE"/>
    <w:rsid w:val="005271FA"/>
    <w:rsid w:val="00531EB2"/>
    <w:rsid w:val="005347B1"/>
    <w:rsid w:val="00534CD2"/>
    <w:rsid w:val="0054163C"/>
    <w:rsid w:val="0054283F"/>
    <w:rsid w:val="00542DA5"/>
    <w:rsid w:val="005453D9"/>
    <w:rsid w:val="00547946"/>
    <w:rsid w:val="00547F54"/>
    <w:rsid w:val="00550008"/>
    <w:rsid w:val="00550A08"/>
    <w:rsid w:val="005538D7"/>
    <w:rsid w:val="00553A3D"/>
    <w:rsid w:val="005562C9"/>
    <w:rsid w:val="0056004C"/>
    <w:rsid w:val="00560250"/>
    <w:rsid w:val="00567ACB"/>
    <w:rsid w:val="00570004"/>
    <w:rsid w:val="00572DE0"/>
    <w:rsid w:val="0057469B"/>
    <w:rsid w:val="00575598"/>
    <w:rsid w:val="005777E8"/>
    <w:rsid w:val="0058080E"/>
    <w:rsid w:val="00582BE6"/>
    <w:rsid w:val="00585A1F"/>
    <w:rsid w:val="00587127"/>
    <w:rsid w:val="005878E2"/>
    <w:rsid w:val="005879E9"/>
    <w:rsid w:val="00590F43"/>
    <w:rsid w:val="00591605"/>
    <w:rsid w:val="005935E1"/>
    <w:rsid w:val="005955D2"/>
    <w:rsid w:val="005964AA"/>
    <w:rsid w:val="005A0316"/>
    <w:rsid w:val="005A16A5"/>
    <w:rsid w:val="005A34A2"/>
    <w:rsid w:val="005A6CF8"/>
    <w:rsid w:val="005A722E"/>
    <w:rsid w:val="005B0FA8"/>
    <w:rsid w:val="005B0FFD"/>
    <w:rsid w:val="005B3786"/>
    <w:rsid w:val="005B3C9D"/>
    <w:rsid w:val="005B774D"/>
    <w:rsid w:val="005C3114"/>
    <w:rsid w:val="005C373B"/>
    <w:rsid w:val="005C3933"/>
    <w:rsid w:val="005C5E52"/>
    <w:rsid w:val="005C675D"/>
    <w:rsid w:val="005D4DFE"/>
    <w:rsid w:val="005D690A"/>
    <w:rsid w:val="005E0E5B"/>
    <w:rsid w:val="005E1A87"/>
    <w:rsid w:val="005E1C64"/>
    <w:rsid w:val="005E2AF8"/>
    <w:rsid w:val="005E3709"/>
    <w:rsid w:val="005E5076"/>
    <w:rsid w:val="005E6FC1"/>
    <w:rsid w:val="005F0BD2"/>
    <w:rsid w:val="005F1D2B"/>
    <w:rsid w:val="005F1E00"/>
    <w:rsid w:val="005F5661"/>
    <w:rsid w:val="005F5B8F"/>
    <w:rsid w:val="00601E6F"/>
    <w:rsid w:val="00602A8B"/>
    <w:rsid w:val="006053E9"/>
    <w:rsid w:val="00605EFC"/>
    <w:rsid w:val="006065A7"/>
    <w:rsid w:val="006077E3"/>
    <w:rsid w:val="0061055A"/>
    <w:rsid w:val="00611D36"/>
    <w:rsid w:val="00611DE0"/>
    <w:rsid w:val="00615FCE"/>
    <w:rsid w:val="0061676D"/>
    <w:rsid w:val="00616801"/>
    <w:rsid w:val="00617904"/>
    <w:rsid w:val="0062027E"/>
    <w:rsid w:val="00621C9A"/>
    <w:rsid w:val="0062414F"/>
    <w:rsid w:val="0062456D"/>
    <w:rsid w:val="00627F8F"/>
    <w:rsid w:val="00630AAC"/>
    <w:rsid w:val="00631A65"/>
    <w:rsid w:val="006324C3"/>
    <w:rsid w:val="00636C3D"/>
    <w:rsid w:val="006410C3"/>
    <w:rsid w:val="006419E2"/>
    <w:rsid w:val="006427AA"/>
    <w:rsid w:val="00644451"/>
    <w:rsid w:val="006447CD"/>
    <w:rsid w:val="0064485D"/>
    <w:rsid w:val="00646C00"/>
    <w:rsid w:val="0065194F"/>
    <w:rsid w:val="00652ADA"/>
    <w:rsid w:val="006535F0"/>
    <w:rsid w:val="006536EC"/>
    <w:rsid w:val="00656791"/>
    <w:rsid w:val="006577B8"/>
    <w:rsid w:val="00664F5C"/>
    <w:rsid w:val="0066558F"/>
    <w:rsid w:val="00666605"/>
    <w:rsid w:val="00666A02"/>
    <w:rsid w:val="006677F1"/>
    <w:rsid w:val="00674733"/>
    <w:rsid w:val="00675C7E"/>
    <w:rsid w:val="006766F8"/>
    <w:rsid w:val="006770D7"/>
    <w:rsid w:val="00680839"/>
    <w:rsid w:val="00680ACD"/>
    <w:rsid w:val="00680B07"/>
    <w:rsid w:val="006841D6"/>
    <w:rsid w:val="00692F9D"/>
    <w:rsid w:val="00694670"/>
    <w:rsid w:val="006970D5"/>
    <w:rsid w:val="00697817"/>
    <w:rsid w:val="006A01A3"/>
    <w:rsid w:val="006A4709"/>
    <w:rsid w:val="006A4AB9"/>
    <w:rsid w:val="006A5F14"/>
    <w:rsid w:val="006A6804"/>
    <w:rsid w:val="006B0672"/>
    <w:rsid w:val="006B22F5"/>
    <w:rsid w:val="006B2CE5"/>
    <w:rsid w:val="006B4CDD"/>
    <w:rsid w:val="006C064A"/>
    <w:rsid w:val="006C31BA"/>
    <w:rsid w:val="006C32CA"/>
    <w:rsid w:val="006C4505"/>
    <w:rsid w:val="006C4AD7"/>
    <w:rsid w:val="006C592E"/>
    <w:rsid w:val="006D2AB7"/>
    <w:rsid w:val="006D4041"/>
    <w:rsid w:val="006D4B3D"/>
    <w:rsid w:val="006D5478"/>
    <w:rsid w:val="006D5C30"/>
    <w:rsid w:val="006D67D6"/>
    <w:rsid w:val="006E0407"/>
    <w:rsid w:val="006E0FAC"/>
    <w:rsid w:val="006E4007"/>
    <w:rsid w:val="006E4C37"/>
    <w:rsid w:val="006E63B7"/>
    <w:rsid w:val="006E6FDC"/>
    <w:rsid w:val="006E7ED4"/>
    <w:rsid w:val="006F36B2"/>
    <w:rsid w:val="006F60DF"/>
    <w:rsid w:val="007007F3"/>
    <w:rsid w:val="007008CD"/>
    <w:rsid w:val="00700CCA"/>
    <w:rsid w:val="00702B14"/>
    <w:rsid w:val="00704300"/>
    <w:rsid w:val="00704F61"/>
    <w:rsid w:val="007050BF"/>
    <w:rsid w:val="00720486"/>
    <w:rsid w:val="007221F2"/>
    <w:rsid w:val="007231E3"/>
    <w:rsid w:val="00723FDD"/>
    <w:rsid w:val="0073010F"/>
    <w:rsid w:val="007317CC"/>
    <w:rsid w:val="007338B7"/>
    <w:rsid w:val="00733941"/>
    <w:rsid w:val="00740596"/>
    <w:rsid w:val="00740FB7"/>
    <w:rsid w:val="007424BE"/>
    <w:rsid w:val="00742B32"/>
    <w:rsid w:val="00742C7F"/>
    <w:rsid w:val="00746870"/>
    <w:rsid w:val="00755016"/>
    <w:rsid w:val="00755867"/>
    <w:rsid w:val="00757438"/>
    <w:rsid w:val="007574AB"/>
    <w:rsid w:val="00757E58"/>
    <w:rsid w:val="00760B54"/>
    <w:rsid w:val="00760D9B"/>
    <w:rsid w:val="00760DB9"/>
    <w:rsid w:val="00765125"/>
    <w:rsid w:val="007666A4"/>
    <w:rsid w:val="00771CFE"/>
    <w:rsid w:val="00773992"/>
    <w:rsid w:val="00773ED5"/>
    <w:rsid w:val="00774ADB"/>
    <w:rsid w:val="007755FA"/>
    <w:rsid w:val="00777302"/>
    <w:rsid w:val="00780C9F"/>
    <w:rsid w:val="007816D2"/>
    <w:rsid w:val="00782545"/>
    <w:rsid w:val="0078359F"/>
    <w:rsid w:val="00783ABA"/>
    <w:rsid w:val="00785B92"/>
    <w:rsid w:val="00786013"/>
    <w:rsid w:val="0078725C"/>
    <w:rsid w:val="00787BC7"/>
    <w:rsid w:val="0079159F"/>
    <w:rsid w:val="007A3159"/>
    <w:rsid w:val="007A4298"/>
    <w:rsid w:val="007A4861"/>
    <w:rsid w:val="007A5FE4"/>
    <w:rsid w:val="007A7026"/>
    <w:rsid w:val="007A77E7"/>
    <w:rsid w:val="007B0DA3"/>
    <w:rsid w:val="007B4923"/>
    <w:rsid w:val="007B53C7"/>
    <w:rsid w:val="007B619B"/>
    <w:rsid w:val="007B726A"/>
    <w:rsid w:val="007B7519"/>
    <w:rsid w:val="007B765F"/>
    <w:rsid w:val="007C0C7A"/>
    <w:rsid w:val="007C0DA8"/>
    <w:rsid w:val="007C3C19"/>
    <w:rsid w:val="007C41E3"/>
    <w:rsid w:val="007C51E5"/>
    <w:rsid w:val="007D0E69"/>
    <w:rsid w:val="007D17AA"/>
    <w:rsid w:val="007D26E4"/>
    <w:rsid w:val="007D40F4"/>
    <w:rsid w:val="007D60E6"/>
    <w:rsid w:val="007D6134"/>
    <w:rsid w:val="007D6EE7"/>
    <w:rsid w:val="007D6F34"/>
    <w:rsid w:val="007E141C"/>
    <w:rsid w:val="007E1716"/>
    <w:rsid w:val="007E25A0"/>
    <w:rsid w:val="007E59C8"/>
    <w:rsid w:val="007E6A58"/>
    <w:rsid w:val="007F1557"/>
    <w:rsid w:val="007F1FA0"/>
    <w:rsid w:val="007F5E6F"/>
    <w:rsid w:val="007F632F"/>
    <w:rsid w:val="007F6C52"/>
    <w:rsid w:val="007F74E8"/>
    <w:rsid w:val="007F79E0"/>
    <w:rsid w:val="007F7B91"/>
    <w:rsid w:val="0080198B"/>
    <w:rsid w:val="00801F6A"/>
    <w:rsid w:val="00802672"/>
    <w:rsid w:val="00802A3A"/>
    <w:rsid w:val="00805FBA"/>
    <w:rsid w:val="008066D5"/>
    <w:rsid w:val="008077E8"/>
    <w:rsid w:val="00815602"/>
    <w:rsid w:val="00815930"/>
    <w:rsid w:val="0081674C"/>
    <w:rsid w:val="008327C1"/>
    <w:rsid w:val="00832F82"/>
    <w:rsid w:val="00833DFE"/>
    <w:rsid w:val="008341AE"/>
    <w:rsid w:val="008351CB"/>
    <w:rsid w:val="008368AE"/>
    <w:rsid w:val="00841910"/>
    <w:rsid w:val="00841B92"/>
    <w:rsid w:val="00841CA5"/>
    <w:rsid w:val="00847421"/>
    <w:rsid w:val="00850F90"/>
    <w:rsid w:val="00851EA2"/>
    <w:rsid w:val="00852693"/>
    <w:rsid w:val="0086158D"/>
    <w:rsid w:val="00861AF6"/>
    <w:rsid w:val="008625AA"/>
    <w:rsid w:val="00864038"/>
    <w:rsid w:val="00865945"/>
    <w:rsid w:val="00865FD5"/>
    <w:rsid w:val="00867451"/>
    <w:rsid w:val="00872284"/>
    <w:rsid w:val="0087456F"/>
    <w:rsid w:val="00876FB3"/>
    <w:rsid w:val="008775F8"/>
    <w:rsid w:val="00884A5E"/>
    <w:rsid w:val="00885CF2"/>
    <w:rsid w:val="008864F9"/>
    <w:rsid w:val="00886CBE"/>
    <w:rsid w:val="008913C0"/>
    <w:rsid w:val="00893190"/>
    <w:rsid w:val="00894179"/>
    <w:rsid w:val="008960AA"/>
    <w:rsid w:val="008969B2"/>
    <w:rsid w:val="00896A2A"/>
    <w:rsid w:val="0089716C"/>
    <w:rsid w:val="008979AB"/>
    <w:rsid w:val="008A5D92"/>
    <w:rsid w:val="008A79F3"/>
    <w:rsid w:val="008B156F"/>
    <w:rsid w:val="008B297A"/>
    <w:rsid w:val="008B7EB4"/>
    <w:rsid w:val="008C0013"/>
    <w:rsid w:val="008C23A6"/>
    <w:rsid w:val="008C3389"/>
    <w:rsid w:val="008C3B24"/>
    <w:rsid w:val="008C5095"/>
    <w:rsid w:val="008C5505"/>
    <w:rsid w:val="008D15DC"/>
    <w:rsid w:val="008D2816"/>
    <w:rsid w:val="008D3606"/>
    <w:rsid w:val="008D4390"/>
    <w:rsid w:val="008D5303"/>
    <w:rsid w:val="008E239A"/>
    <w:rsid w:val="008E379E"/>
    <w:rsid w:val="008E7B9C"/>
    <w:rsid w:val="008F0AB0"/>
    <w:rsid w:val="008F25DF"/>
    <w:rsid w:val="008F46FD"/>
    <w:rsid w:val="008F6877"/>
    <w:rsid w:val="00900A5F"/>
    <w:rsid w:val="0090182C"/>
    <w:rsid w:val="00905B2D"/>
    <w:rsid w:val="0090702D"/>
    <w:rsid w:val="0090703D"/>
    <w:rsid w:val="00910033"/>
    <w:rsid w:val="00912A2D"/>
    <w:rsid w:val="009171AF"/>
    <w:rsid w:val="009172E0"/>
    <w:rsid w:val="00921E9A"/>
    <w:rsid w:val="00933985"/>
    <w:rsid w:val="00933A3A"/>
    <w:rsid w:val="0093487B"/>
    <w:rsid w:val="00940623"/>
    <w:rsid w:val="00940A90"/>
    <w:rsid w:val="00940C5D"/>
    <w:rsid w:val="009418C4"/>
    <w:rsid w:val="00941AF0"/>
    <w:rsid w:val="00942955"/>
    <w:rsid w:val="00942DB7"/>
    <w:rsid w:val="0095092C"/>
    <w:rsid w:val="00950C0B"/>
    <w:rsid w:val="00955A64"/>
    <w:rsid w:val="009565BC"/>
    <w:rsid w:val="00956783"/>
    <w:rsid w:val="009570CF"/>
    <w:rsid w:val="00957997"/>
    <w:rsid w:val="00960A81"/>
    <w:rsid w:val="00961927"/>
    <w:rsid w:val="00962827"/>
    <w:rsid w:val="009630CE"/>
    <w:rsid w:val="0096429B"/>
    <w:rsid w:val="00966F73"/>
    <w:rsid w:val="00967455"/>
    <w:rsid w:val="00970FDA"/>
    <w:rsid w:val="0097165C"/>
    <w:rsid w:val="00971B39"/>
    <w:rsid w:val="00973093"/>
    <w:rsid w:val="00975420"/>
    <w:rsid w:val="00975F8A"/>
    <w:rsid w:val="00977341"/>
    <w:rsid w:val="009800E1"/>
    <w:rsid w:val="00980EB3"/>
    <w:rsid w:val="009812C6"/>
    <w:rsid w:val="009824BE"/>
    <w:rsid w:val="00984D1A"/>
    <w:rsid w:val="00985E7F"/>
    <w:rsid w:val="00985FEB"/>
    <w:rsid w:val="00986825"/>
    <w:rsid w:val="00987D98"/>
    <w:rsid w:val="009914B6"/>
    <w:rsid w:val="00997588"/>
    <w:rsid w:val="009A2A0D"/>
    <w:rsid w:val="009A2EB1"/>
    <w:rsid w:val="009A46AA"/>
    <w:rsid w:val="009A4A6A"/>
    <w:rsid w:val="009A7038"/>
    <w:rsid w:val="009A78D8"/>
    <w:rsid w:val="009B103F"/>
    <w:rsid w:val="009B1577"/>
    <w:rsid w:val="009B1FC9"/>
    <w:rsid w:val="009B36F9"/>
    <w:rsid w:val="009B4331"/>
    <w:rsid w:val="009C1924"/>
    <w:rsid w:val="009C3757"/>
    <w:rsid w:val="009C437F"/>
    <w:rsid w:val="009C759A"/>
    <w:rsid w:val="009C7726"/>
    <w:rsid w:val="009C7B14"/>
    <w:rsid w:val="009D095D"/>
    <w:rsid w:val="009D2DC5"/>
    <w:rsid w:val="009D3225"/>
    <w:rsid w:val="009D3AFC"/>
    <w:rsid w:val="009D4B54"/>
    <w:rsid w:val="009D4BF3"/>
    <w:rsid w:val="009E005D"/>
    <w:rsid w:val="009E5D53"/>
    <w:rsid w:val="009E6DEB"/>
    <w:rsid w:val="009F11C1"/>
    <w:rsid w:val="009F16EC"/>
    <w:rsid w:val="009F5C02"/>
    <w:rsid w:val="009F676A"/>
    <w:rsid w:val="009F6D87"/>
    <w:rsid w:val="00A01280"/>
    <w:rsid w:val="00A01965"/>
    <w:rsid w:val="00A03189"/>
    <w:rsid w:val="00A0578B"/>
    <w:rsid w:val="00A107DD"/>
    <w:rsid w:val="00A11E63"/>
    <w:rsid w:val="00A145F6"/>
    <w:rsid w:val="00A14858"/>
    <w:rsid w:val="00A1530F"/>
    <w:rsid w:val="00A156A2"/>
    <w:rsid w:val="00A2210C"/>
    <w:rsid w:val="00A23BD1"/>
    <w:rsid w:val="00A250E5"/>
    <w:rsid w:val="00A2780A"/>
    <w:rsid w:val="00A27D20"/>
    <w:rsid w:val="00A31802"/>
    <w:rsid w:val="00A3288F"/>
    <w:rsid w:val="00A330B9"/>
    <w:rsid w:val="00A33538"/>
    <w:rsid w:val="00A35617"/>
    <w:rsid w:val="00A366CF"/>
    <w:rsid w:val="00A410D0"/>
    <w:rsid w:val="00A42255"/>
    <w:rsid w:val="00A433EE"/>
    <w:rsid w:val="00A470EA"/>
    <w:rsid w:val="00A479EB"/>
    <w:rsid w:val="00A5025E"/>
    <w:rsid w:val="00A51120"/>
    <w:rsid w:val="00A51143"/>
    <w:rsid w:val="00A53E2E"/>
    <w:rsid w:val="00A53FE9"/>
    <w:rsid w:val="00A5425E"/>
    <w:rsid w:val="00A55BA0"/>
    <w:rsid w:val="00A56FC6"/>
    <w:rsid w:val="00A57B64"/>
    <w:rsid w:val="00A605B4"/>
    <w:rsid w:val="00A641FA"/>
    <w:rsid w:val="00A64CD4"/>
    <w:rsid w:val="00A65870"/>
    <w:rsid w:val="00A67C37"/>
    <w:rsid w:val="00A70BD1"/>
    <w:rsid w:val="00A70E2A"/>
    <w:rsid w:val="00A718D2"/>
    <w:rsid w:val="00A74E47"/>
    <w:rsid w:val="00A75E59"/>
    <w:rsid w:val="00A7701A"/>
    <w:rsid w:val="00A84CED"/>
    <w:rsid w:val="00A86425"/>
    <w:rsid w:val="00A870F6"/>
    <w:rsid w:val="00A900AD"/>
    <w:rsid w:val="00A937B3"/>
    <w:rsid w:val="00A97996"/>
    <w:rsid w:val="00AA18D2"/>
    <w:rsid w:val="00AA441B"/>
    <w:rsid w:val="00AA7F83"/>
    <w:rsid w:val="00AB138F"/>
    <w:rsid w:val="00AB23A5"/>
    <w:rsid w:val="00AB3531"/>
    <w:rsid w:val="00AB44A4"/>
    <w:rsid w:val="00AB51C5"/>
    <w:rsid w:val="00AB5202"/>
    <w:rsid w:val="00AB6E03"/>
    <w:rsid w:val="00AB7482"/>
    <w:rsid w:val="00AC121C"/>
    <w:rsid w:val="00AC1290"/>
    <w:rsid w:val="00AC20D6"/>
    <w:rsid w:val="00AC410B"/>
    <w:rsid w:val="00AC62AA"/>
    <w:rsid w:val="00AD1F64"/>
    <w:rsid w:val="00AD4A90"/>
    <w:rsid w:val="00AD5650"/>
    <w:rsid w:val="00AD5CE3"/>
    <w:rsid w:val="00AD6512"/>
    <w:rsid w:val="00AE1BB4"/>
    <w:rsid w:val="00AE4B8F"/>
    <w:rsid w:val="00AE68C8"/>
    <w:rsid w:val="00AF18B7"/>
    <w:rsid w:val="00AF4B5A"/>
    <w:rsid w:val="00AF5110"/>
    <w:rsid w:val="00B006C3"/>
    <w:rsid w:val="00B016FA"/>
    <w:rsid w:val="00B05055"/>
    <w:rsid w:val="00B06C0A"/>
    <w:rsid w:val="00B06C55"/>
    <w:rsid w:val="00B13708"/>
    <w:rsid w:val="00B17670"/>
    <w:rsid w:val="00B200C1"/>
    <w:rsid w:val="00B24B5D"/>
    <w:rsid w:val="00B322BD"/>
    <w:rsid w:val="00B3250F"/>
    <w:rsid w:val="00B334C8"/>
    <w:rsid w:val="00B3445A"/>
    <w:rsid w:val="00B4010C"/>
    <w:rsid w:val="00B443DD"/>
    <w:rsid w:val="00B44FCF"/>
    <w:rsid w:val="00B506AD"/>
    <w:rsid w:val="00B52F17"/>
    <w:rsid w:val="00B531F9"/>
    <w:rsid w:val="00B53965"/>
    <w:rsid w:val="00B540A0"/>
    <w:rsid w:val="00B549EE"/>
    <w:rsid w:val="00B56840"/>
    <w:rsid w:val="00B57FEB"/>
    <w:rsid w:val="00B6192B"/>
    <w:rsid w:val="00B62503"/>
    <w:rsid w:val="00B63C69"/>
    <w:rsid w:val="00B67DB2"/>
    <w:rsid w:val="00B70A17"/>
    <w:rsid w:val="00B72580"/>
    <w:rsid w:val="00B75DF8"/>
    <w:rsid w:val="00B77927"/>
    <w:rsid w:val="00B77D28"/>
    <w:rsid w:val="00B81376"/>
    <w:rsid w:val="00B82318"/>
    <w:rsid w:val="00B847C2"/>
    <w:rsid w:val="00B8624C"/>
    <w:rsid w:val="00B87AE5"/>
    <w:rsid w:val="00B925FC"/>
    <w:rsid w:val="00B92802"/>
    <w:rsid w:val="00B966AE"/>
    <w:rsid w:val="00BA1227"/>
    <w:rsid w:val="00BA311F"/>
    <w:rsid w:val="00BA4243"/>
    <w:rsid w:val="00BA5B4B"/>
    <w:rsid w:val="00BB0C4B"/>
    <w:rsid w:val="00BB2425"/>
    <w:rsid w:val="00BB2F04"/>
    <w:rsid w:val="00BB4ED5"/>
    <w:rsid w:val="00BB5D68"/>
    <w:rsid w:val="00BB73FA"/>
    <w:rsid w:val="00BB771B"/>
    <w:rsid w:val="00BC18D8"/>
    <w:rsid w:val="00BC5328"/>
    <w:rsid w:val="00BC6768"/>
    <w:rsid w:val="00BD30D3"/>
    <w:rsid w:val="00BD37D0"/>
    <w:rsid w:val="00BD5D60"/>
    <w:rsid w:val="00BD637D"/>
    <w:rsid w:val="00BD72BE"/>
    <w:rsid w:val="00BE1556"/>
    <w:rsid w:val="00BE3AB0"/>
    <w:rsid w:val="00BE433C"/>
    <w:rsid w:val="00BE5AFD"/>
    <w:rsid w:val="00BE7EC7"/>
    <w:rsid w:val="00BF4E52"/>
    <w:rsid w:val="00BF5569"/>
    <w:rsid w:val="00C00C08"/>
    <w:rsid w:val="00C01F8F"/>
    <w:rsid w:val="00C024EE"/>
    <w:rsid w:val="00C0262C"/>
    <w:rsid w:val="00C03D36"/>
    <w:rsid w:val="00C10920"/>
    <w:rsid w:val="00C114A0"/>
    <w:rsid w:val="00C12153"/>
    <w:rsid w:val="00C13CCE"/>
    <w:rsid w:val="00C15A49"/>
    <w:rsid w:val="00C166C6"/>
    <w:rsid w:val="00C21C5B"/>
    <w:rsid w:val="00C25334"/>
    <w:rsid w:val="00C25C03"/>
    <w:rsid w:val="00C25D86"/>
    <w:rsid w:val="00C2610D"/>
    <w:rsid w:val="00C26D61"/>
    <w:rsid w:val="00C305AB"/>
    <w:rsid w:val="00C3563C"/>
    <w:rsid w:val="00C36BD9"/>
    <w:rsid w:val="00C378CE"/>
    <w:rsid w:val="00C405C4"/>
    <w:rsid w:val="00C414AA"/>
    <w:rsid w:val="00C42EE3"/>
    <w:rsid w:val="00C4488F"/>
    <w:rsid w:val="00C45020"/>
    <w:rsid w:val="00C47377"/>
    <w:rsid w:val="00C47894"/>
    <w:rsid w:val="00C50089"/>
    <w:rsid w:val="00C50D9C"/>
    <w:rsid w:val="00C5158A"/>
    <w:rsid w:val="00C52ACE"/>
    <w:rsid w:val="00C52D37"/>
    <w:rsid w:val="00C570F9"/>
    <w:rsid w:val="00C606B7"/>
    <w:rsid w:val="00C60922"/>
    <w:rsid w:val="00C61C09"/>
    <w:rsid w:val="00C61C0A"/>
    <w:rsid w:val="00C635BC"/>
    <w:rsid w:val="00C64A99"/>
    <w:rsid w:val="00C64DCD"/>
    <w:rsid w:val="00C70C64"/>
    <w:rsid w:val="00C72812"/>
    <w:rsid w:val="00C73272"/>
    <w:rsid w:val="00C75E8B"/>
    <w:rsid w:val="00C834CB"/>
    <w:rsid w:val="00C84C47"/>
    <w:rsid w:val="00C85041"/>
    <w:rsid w:val="00C9308B"/>
    <w:rsid w:val="00C94543"/>
    <w:rsid w:val="00CA1182"/>
    <w:rsid w:val="00CA4BEC"/>
    <w:rsid w:val="00CA5303"/>
    <w:rsid w:val="00CA5320"/>
    <w:rsid w:val="00CA5B02"/>
    <w:rsid w:val="00CA5EB7"/>
    <w:rsid w:val="00CA7770"/>
    <w:rsid w:val="00CA7E67"/>
    <w:rsid w:val="00CB033D"/>
    <w:rsid w:val="00CB7BF7"/>
    <w:rsid w:val="00CB7E96"/>
    <w:rsid w:val="00CC3EE4"/>
    <w:rsid w:val="00CC4A0B"/>
    <w:rsid w:val="00CC5FB0"/>
    <w:rsid w:val="00CD07FF"/>
    <w:rsid w:val="00CD0894"/>
    <w:rsid w:val="00CD2BC5"/>
    <w:rsid w:val="00CD3A49"/>
    <w:rsid w:val="00CE1B71"/>
    <w:rsid w:val="00CE1CA8"/>
    <w:rsid w:val="00CE24EB"/>
    <w:rsid w:val="00CE34FE"/>
    <w:rsid w:val="00CE4383"/>
    <w:rsid w:val="00CF5025"/>
    <w:rsid w:val="00D0311D"/>
    <w:rsid w:val="00D1410B"/>
    <w:rsid w:val="00D164F4"/>
    <w:rsid w:val="00D219EE"/>
    <w:rsid w:val="00D22791"/>
    <w:rsid w:val="00D2313D"/>
    <w:rsid w:val="00D23ED6"/>
    <w:rsid w:val="00D24479"/>
    <w:rsid w:val="00D247A5"/>
    <w:rsid w:val="00D26EFA"/>
    <w:rsid w:val="00D3016E"/>
    <w:rsid w:val="00D301B4"/>
    <w:rsid w:val="00D31146"/>
    <w:rsid w:val="00D32CA6"/>
    <w:rsid w:val="00D34048"/>
    <w:rsid w:val="00D359B0"/>
    <w:rsid w:val="00D3654D"/>
    <w:rsid w:val="00D42992"/>
    <w:rsid w:val="00D4331C"/>
    <w:rsid w:val="00D435C8"/>
    <w:rsid w:val="00D4464F"/>
    <w:rsid w:val="00D46109"/>
    <w:rsid w:val="00D46918"/>
    <w:rsid w:val="00D52218"/>
    <w:rsid w:val="00D532B7"/>
    <w:rsid w:val="00D61D99"/>
    <w:rsid w:val="00D6771C"/>
    <w:rsid w:val="00D76A16"/>
    <w:rsid w:val="00D77B48"/>
    <w:rsid w:val="00D81A0A"/>
    <w:rsid w:val="00D86B33"/>
    <w:rsid w:val="00D8743E"/>
    <w:rsid w:val="00DA0717"/>
    <w:rsid w:val="00DA0791"/>
    <w:rsid w:val="00DA2DD3"/>
    <w:rsid w:val="00DB0112"/>
    <w:rsid w:val="00DB19B5"/>
    <w:rsid w:val="00DB38A0"/>
    <w:rsid w:val="00DB4085"/>
    <w:rsid w:val="00DB47AE"/>
    <w:rsid w:val="00DB6713"/>
    <w:rsid w:val="00DC0AD5"/>
    <w:rsid w:val="00DC218D"/>
    <w:rsid w:val="00DC243F"/>
    <w:rsid w:val="00DC5CC3"/>
    <w:rsid w:val="00DC6086"/>
    <w:rsid w:val="00DC6CD3"/>
    <w:rsid w:val="00DC72B9"/>
    <w:rsid w:val="00DC7876"/>
    <w:rsid w:val="00DD081E"/>
    <w:rsid w:val="00DD1D52"/>
    <w:rsid w:val="00DD25F0"/>
    <w:rsid w:val="00DD3EC5"/>
    <w:rsid w:val="00DE24F3"/>
    <w:rsid w:val="00DE2B56"/>
    <w:rsid w:val="00DE4253"/>
    <w:rsid w:val="00DE441C"/>
    <w:rsid w:val="00DF1735"/>
    <w:rsid w:val="00DF5A7C"/>
    <w:rsid w:val="00DF6A1A"/>
    <w:rsid w:val="00DF7B2F"/>
    <w:rsid w:val="00E01801"/>
    <w:rsid w:val="00E0519E"/>
    <w:rsid w:val="00E05334"/>
    <w:rsid w:val="00E05388"/>
    <w:rsid w:val="00E062C2"/>
    <w:rsid w:val="00E068C2"/>
    <w:rsid w:val="00E12E57"/>
    <w:rsid w:val="00E13C61"/>
    <w:rsid w:val="00E148FE"/>
    <w:rsid w:val="00E21E1E"/>
    <w:rsid w:val="00E23B19"/>
    <w:rsid w:val="00E310D8"/>
    <w:rsid w:val="00E31C17"/>
    <w:rsid w:val="00E3631D"/>
    <w:rsid w:val="00E36AD0"/>
    <w:rsid w:val="00E37EB5"/>
    <w:rsid w:val="00E41D8F"/>
    <w:rsid w:val="00E429D2"/>
    <w:rsid w:val="00E45F02"/>
    <w:rsid w:val="00E46BCC"/>
    <w:rsid w:val="00E47146"/>
    <w:rsid w:val="00E50BB8"/>
    <w:rsid w:val="00E52895"/>
    <w:rsid w:val="00E554CD"/>
    <w:rsid w:val="00E556EB"/>
    <w:rsid w:val="00E57263"/>
    <w:rsid w:val="00E605B1"/>
    <w:rsid w:val="00E65293"/>
    <w:rsid w:val="00E66B77"/>
    <w:rsid w:val="00E66FD7"/>
    <w:rsid w:val="00E678D3"/>
    <w:rsid w:val="00E705AD"/>
    <w:rsid w:val="00E71DF3"/>
    <w:rsid w:val="00E751B5"/>
    <w:rsid w:val="00E82F0B"/>
    <w:rsid w:val="00E8339F"/>
    <w:rsid w:val="00E83B41"/>
    <w:rsid w:val="00E84164"/>
    <w:rsid w:val="00E857BF"/>
    <w:rsid w:val="00E87F9B"/>
    <w:rsid w:val="00E9114D"/>
    <w:rsid w:val="00E9430B"/>
    <w:rsid w:val="00E95850"/>
    <w:rsid w:val="00EA0123"/>
    <w:rsid w:val="00EA0947"/>
    <w:rsid w:val="00EA2C19"/>
    <w:rsid w:val="00EA4BD5"/>
    <w:rsid w:val="00EA79C3"/>
    <w:rsid w:val="00EB12A5"/>
    <w:rsid w:val="00EB2F18"/>
    <w:rsid w:val="00EB3612"/>
    <w:rsid w:val="00EB3C88"/>
    <w:rsid w:val="00EB66A9"/>
    <w:rsid w:val="00EB6E89"/>
    <w:rsid w:val="00EB77FA"/>
    <w:rsid w:val="00EC15C0"/>
    <w:rsid w:val="00EC1F13"/>
    <w:rsid w:val="00EC40F4"/>
    <w:rsid w:val="00EC619E"/>
    <w:rsid w:val="00ED0F80"/>
    <w:rsid w:val="00ED147D"/>
    <w:rsid w:val="00ED4A3C"/>
    <w:rsid w:val="00ED523F"/>
    <w:rsid w:val="00ED59DA"/>
    <w:rsid w:val="00ED710A"/>
    <w:rsid w:val="00ED71E9"/>
    <w:rsid w:val="00EE156F"/>
    <w:rsid w:val="00EE1821"/>
    <w:rsid w:val="00EE2C43"/>
    <w:rsid w:val="00EE4266"/>
    <w:rsid w:val="00EE5C00"/>
    <w:rsid w:val="00EE5E85"/>
    <w:rsid w:val="00EF4799"/>
    <w:rsid w:val="00EF54E0"/>
    <w:rsid w:val="00F0027E"/>
    <w:rsid w:val="00F028A3"/>
    <w:rsid w:val="00F04628"/>
    <w:rsid w:val="00F04AC2"/>
    <w:rsid w:val="00F057CA"/>
    <w:rsid w:val="00F07515"/>
    <w:rsid w:val="00F11473"/>
    <w:rsid w:val="00F1200A"/>
    <w:rsid w:val="00F13BEA"/>
    <w:rsid w:val="00F14FC5"/>
    <w:rsid w:val="00F20637"/>
    <w:rsid w:val="00F21CAE"/>
    <w:rsid w:val="00F236C7"/>
    <w:rsid w:val="00F24CF3"/>
    <w:rsid w:val="00F26E7D"/>
    <w:rsid w:val="00F356FF"/>
    <w:rsid w:val="00F40B8C"/>
    <w:rsid w:val="00F40ED6"/>
    <w:rsid w:val="00F432B8"/>
    <w:rsid w:val="00F444F9"/>
    <w:rsid w:val="00F4474F"/>
    <w:rsid w:val="00F4512F"/>
    <w:rsid w:val="00F45635"/>
    <w:rsid w:val="00F469AE"/>
    <w:rsid w:val="00F47067"/>
    <w:rsid w:val="00F5120C"/>
    <w:rsid w:val="00F51C7A"/>
    <w:rsid w:val="00F537DF"/>
    <w:rsid w:val="00F541C4"/>
    <w:rsid w:val="00F546E8"/>
    <w:rsid w:val="00F61940"/>
    <w:rsid w:val="00F62B99"/>
    <w:rsid w:val="00F6363C"/>
    <w:rsid w:val="00F652ED"/>
    <w:rsid w:val="00F73C9F"/>
    <w:rsid w:val="00F83907"/>
    <w:rsid w:val="00F85129"/>
    <w:rsid w:val="00F858E5"/>
    <w:rsid w:val="00F8735A"/>
    <w:rsid w:val="00F930F8"/>
    <w:rsid w:val="00F96B83"/>
    <w:rsid w:val="00F972E3"/>
    <w:rsid w:val="00FA182E"/>
    <w:rsid w:val="00FA3671"/>
    <w:rsid w:val="00FA4121"/>
    <w:rsid w:val="00FA42C3"/>
    <w:rsid w:val="00FA4AD2"/>
    <w:rsid w:val="00FA5F9D"/>
    <w:rsid w:val="00FB35D2"/>
    <w:rsid w:val="00FB3C49"/>
    <w:rsid w:val="00FB4C7C"/>
    <w:rsid w:val="00FB6472"/>
    <w:rsid w:val="00FB7322"/>
    <w:rsid w:val="00FB78DB"/>
    <w:rsid w:val="00FC1C12"/>
    <w:rsid w:val="00FC215F"/>
    <w:rsid w:val="00FC39A1"/>
    <w:rsid w:val="00FC44B7"/>
    <w:rsid w:val="00FC4EA9"/>
    <w:rsid w:val="00FC55FA"/>
    <w:rsid w:val="00FC58DC"/>
    <w:rsid w:val="00FC5AF6"/>
    <w:rsid w:val="00FC734C"/>
    <w:rsid w:val="00FD17C7"/>
    <w:rsid w:val="00FD2578"/>
    <w:rsid w:val="00FD3777"/>
    <w:rsid w:val="00FD71AB"/>
    <w:rsid w:val="00FE03BF"/>
    <w:rsid w:val="00FE0BD0"/>
    <w:rsid w:val="00FE235D"/>
    <w:rsid w:val="00FE5F07"/>
    <w:rsid w:val="00FF2805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004AA"/>
  <w15:chartTrackingRefBased/>
  <w15:docId w15:val="{71D7618A-BFBA-4C1D-AA11-314DC1C1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E17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5E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56F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356FF"/>
    <w:pPr>
      <w:tabs>
        <w:tab w:val="center" w:pos="4536"/>
        <w:tab w:val="right" w:pos="9072"/>
      </w:tabs>
    </w:pPr>
  </w:style>
  <w:style w:type="character" w:styleId="Hipercze">
    <w:name w:val="Hyperlink"/>
    <w:rsid w:val="00BB4ED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07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02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85E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rsid w:val="005416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4331C"/>
    <w:pPr>
      <w:ind w:left="720"/>
      <w:contextualSpacing/>
    </w:pPr>
  </w:style>
  <w:style w:type="character" w:styleId="Uwydatnienie">
    <w:name w:val="Emphasis"/>
    <w:qFormat/>
    <w:rsid w:val="00553A3D"/>
    <w:rPr>
      <w:i/>
    </w:rPr>
  </w:style>
  <w:style w:type="paragraph" w:styleId="Tekstpodstawowywcity">
    <w:name w:val="Body Text Indent"/>
    <w:basedOn w:val="Normalny"/>
    <w:link w:val="TekstpodstawowywcityZnak"/>
    <w:rsid w:val="00553A3D"/>
    <w:pPr>
      <w:ind w:left="360"/>
    </w:pPr>
    <w:rPr>
      <w:rFonts w:ascii="Arial" w:eastAsia="Calibri" w:hAnsi="Arial"/>
      <w:sz w:val="20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3A3D"/>
    <w:rPr>
      <w:rFonts w:ascii="Arial" w:eastAsia="Calibri" w:hAnsi="Arial"/>
      <w:szCs w:val="22"/>
      <w:lang w:eastAsia="en-US"/>
    </w:rPr>
  </w:style>
  <w:style w:type="paragraph" w:customStyle="1" w:styleId="Default">
    <w:name w:val="Default"/>
    <w:rsid w:val="00553A3D"/>
    <w:rPr>
      <w:snapToGrid w:val="0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E0BD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B76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765F"/>
  </w:style>
  <w:style w:type="character" w:styleId="Odwoanieprzypisukocowego">
    <w:name w:val="endnote reference"/>
    <w:basedOn w:val="Domylnaczcionkaakapitu"/>
    <w:rsid w:val="007B7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artineez\Pulpit\Szablon%20pisma%20firmowegoKancle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6C307-68BE-44E4-B04C-2046977D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firmowegoKanclerz.dot</Template>
  <TotalTime>106</TotalTime>
  <Pages>11</Pages>
  <Words>4124</Words>
  <Characters>24748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Wydziały/Jednostki AGH</vt:lpstr>
    </vt:vector>
  </TitlesOfParts>
  <Company>AGH</Company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Wydziały/Jednostki AGH</dc:title>
  <dc:subject/>
  <dc:creator>Marcin Polny</dc:creator>
  <cp:keywords/>
  <cp:lastModifiedBy>Dariusz Mendyk</cp:lastModifiedBy>
  <cp:revision>6</cp:revision>
  <cp:lastPrinted>2023-11-17T08:06:00Z</cp:lastPrinted>
  <dcterms:created xsi:type="dcterms:W3CDTF">2023-11-17T08:13:00Z</dcterms:created>
  <dcterms:modified xsi:type="dcterms:W3CDTF">2024-09-26T15:03:00Z</dcterms:modified>
</cp:coreProperties>
</file>