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110" w:rsidRDefault="00A72110" w:rsidP="00A72110">
      <w:pPr>
        <w:pStyle w:val="Nagwek1"/>
        <w:tabs>
          <w:tab w:val="left" w:pos="426"/>
        </w:tabs>
        <w:jc w:val="both"/>
        <w:rPr>
          <w:b/>
          <w:bCs/>
          <w:color w:val="808000"/>
          <w:sz w:val="24"/>
          <w:szCs w:val="24"/>
        </w:rPr>
      </w:pPr>
    </w:p>
    <w:p w:rsidR="00A72110" w:rsidRDefault="00A72110" w:rsidP="00A72110">
      <w:pPr>
        <w:pStyle w:val="Nagwek1"/>
        <w:tabs>
          <w:tab w:val="left" w:pos="426"/>
        </w:tabs>
        <w:jc w:val="both"/>
        <w:rPr>
          <w:b/>
          <w:bCs/>
          <w:color w:val="808000"/>
          <w:sz w:val="24"/>
          <w:szCs w:val="24"/>
          <w:u w:val="single"/>
        </w:rPr>
      </w:pPr>
      <w:r>
        <w:rPr>
          <w:b/>
          <w:bCs/>
          <w:color w:val="808000"/>
          <w:sz w:val="24"/>
          <w:szCs w:val="24"/>
        </w:rPr>
        <w:t>II.3</w:t>
      </w:r>
      <w:r>
        <w:rPr>
          <w:b/>
          <w:bCs/>
          <w:color w:val="808000"/>
          <w:sz w:val="24"/>
          <w:szCs w:val="24"/>
        </w:rPr>
        <w:tab/>
      </w:r>
      <w:r>
        <w:rPr>
          <w:b/>
          <w:bCs/>
          <w:color w:val="808000"/>
          <w:sz w:val="24"/>
          <w:szCs w:val="24"/>
          <w:u w:val="single"/>
        </w:rPr>
        <w:t xml:space="preserve">INWESTYCJE W TRAKCIE REALIZACJI Z PRAWOMOCNĄ DECYZJĄ </w:t>
      </w:r>
      <w:r>
        <w:rPr>
          <w:b/>
          <w:bCs/>
          <w:color w:val="808000"/>
          <w:sz w:val="24"/>
          <w:szCs w:val="24"/>
        </w:rPr>
        <w:tab/>
      </w:r>
      <w:r>
        <w:rPr>
          <w:b/>
          <w:bCs/>
          <w:color w:val="808000"/>
          <w:sz w:val="24"/>
          <w:szCs w:val="24"/>
          <w:u w:val="single"/>
        </w:rPr>
        <w:t>POZWOLENIA NA BUDOWĘ</w:t>
      </w:r>
    </w:p>
    <w:p w:rsidR="00A72110" w:rsidRDefault="00A72110" w:rsidP="00A72110">
      <w:pPr>
        <w:spacing w:after="0" w:line="240" w:lineRule="auto"/>
        <w:jc w:val="both"/>
        <w:rPr>
          <w:rFonts w:ascii="Arial" w:hAnsi="Arial" w:cs="Arial"/>
          <w:b/>
          <w:bCs/>
          <w:color w:val="808000"/>
          <w:sz w:val="24"/>
          <w:szCs w:val="24"/>
          <w:u w:val="single"/>
        </w:rPr>
      </w:pPr>
    </w:p>
    <w:p w:rsidR="00A72110" w:rsidRDefault="00A72110" w:rsidP="00A72110">
      <w:pPr>
        <w:pStyle w:val="Tekstpodstawowy3"/>
        <w:jc w:val="center"/>
        <w:rPr>
          <w:b w:val="0"/>
          <w:bCs w:val="0"/>
          <w:u w:val="none"/>
        </w:rPr>
      </w:pPr>
      <w:r>
        <w:rPr>
          <w:color w:val="008080"/>
          <w:u w:val="none"/>
        </w:rPr>
        <w:t xml:space="preserve">30. Budowa budynku pomocniczego dla potrzeb AGH </w:t>
      </w:r>
      <w:r>
        <w:rPr>
          <w:color w:val="008080"/>
          <w:u w:val="none"/>
        </w:rPr>
        <w:br/>
      </w:r>
      <w:r>
        <w:rPr>
          <w:b w:val="0"/>
          <w:bCs w:val="0"/>
          <w:color w:val="008080"/>
          <w:u w:val="none"/>
        </w:rPr>
        <w:t>(decyzja nr 2425/6740.1/2017):</w:t>
      </w:r>
    </w:p>
    <w:p w:rsidR="00A72110" w:rsidRDefault="00A72110" w:rsidP="00A72110">
      <w:pPr>
        <w:pStyle w:val="Tekstpodstawowy3"/>
        <w:jc w:val="both"/>
        <w:rPr>
          <w:sz w:val="18"/>
          <w:szCs w:val="18"/>
        </w:rPr>
      </w:pPr>
    </w:p>
    <w:p w:rsidR="00A72110" w:rsidRDefault="00A72110" w:rsidP="00A72110">
      <w:pPr>
        <w:pStyle w:val="Tekstpodstawowy3"/>
        <w:numPr>
          <w:ilvl w:val="0"/>
          <w:numId w:val="2"/>
        </w:numPr>
        <w:jc w:val="both"/>
        <w:rPr>
          <w:sz w:val="18"/>
          <w:szCs w:val="18"/>
          <w:u w:val="none"/>
        </w:rPr>
      </w:pPr>
      <w:r>
        <w:rPr>
          <w:sz w:val="18"/>
          <w:szCs w:val="18"/>
          <w:u w:val="none"/>
        </w:rPr>
        <w:t xml:space="preserve">położenie: </w:t>
      </w:r>
      <w:r>
        <w:rPr>
          <w:b w:val="0"/>
          <w:bCs w:val="0"/>
          <w:sz w:val="18"/>
          <w:szCs w:val="18"/>
          <w:u w:val="none"/>
        </w:rPr>
        <w:t>obszar planistyczny 5UN</w:t>
      </w:r>
    </w:p>
    <w:p w:rsidR="00A72110" w:rsidRDefault="00A72110" w:rsidP="00A72110">
      <w:pPr>
        <w:pStyle w:val="Tekstpodstawowy3"/>
        <w:jc w:val="both"/>
        <w:rPr>
          <w:sz w:val="18"/>
          <w:szCs w:val="18"/>
          <w:u w:val="none"/>
        </w:rPr>
      </w:pPr>
    </w:p>
    <w:p w:rsidR="00A72110" w:rsidRDefault="00A72110" w:rsidP="00A72110">
      <w:pPr>
        <w:pStyle w:val="Tekstpodstawowy3"/>
        <w:numPr>
          <w:ilvl w:val="0"/>
          <w:numId w:val="2"/>
        </w:numPr>
        <w:jc w:val="both"/>
        <w:rPr>
          <w:sz w:val="18"/>
          <w:szCs w:val="18"/>
          <w:u w:val="none"/>
        </w:rPr>
      </w:pPr>
      <w:r>
        <w:rPr>
          <w:sz w:val="18"/>
          <w:szCs w:val="18"/>
          <w:u w:val="none"/>
        </w:rPr>
        <w:t>opis inwestycji:</w:t>
      </w:r>
    </w:p>
    <w:p w:rsidR="00A72110" w:rsidRDefault="00A72110" w:rsidP="00A72110">
      <w:pPr>
        <w:pStyle w:val="Tekstpodstawowy3"/>
        <w:numPr>
          <w:ilvl w:val="0"/>
          <w:numId w:val="1"/>
        </w:numPr>
        <w:jc w:val="both"/>
        <w:rPr>
          <w:b w:val="0"/>
          <w:bCs w:val="0"/>
          <w:sz w:val="18"/>
          <w:szCs w:val="18"/>
          <w:u w:val="none"/>
        </w:rPr>
      </w:pPr>
      <w:r>
        <w:rPr>
          <w:b w:val="0"/>
          <w:bCs w:val="0"/>
          <w:sz w:val="18"/>
          <w:szCs w:val="18"/>
          <w:u w:val="none"/>
        </w:rPr>
        <w:t>budynek o funkcji biurowej i konferencyjnej</w:t>
      </w:r>
    </w:p>
    <w:p w:rsidR="00A72110" w:rsidRDefault="00A72110" w:rsidP="00A72110">
      <w:pPr>
        <w:pStyle w:val="Tekstpodstawowy3"/>
        <w:numPr>
          <w:ilvl w:val="0"/>
          <w:numId w:val="1"/>
        </w:numPr>
        <w:jc w:val="both"/>
        <w:rPr>
          <w:sz w:val="18"/>
          <w:szCs w:val="18"/>
          <w:u w:val="none"/>
        </w:rPr>
      </w:pPr>
      <w:r>
        <w:rPr>
          <w:b w:val="0"/>
          <w:bCs w:val="0"/>
          <w:sz w:val="18"/>
          <w:szCs w:val="18"/>
          <w:u w:val="none"/>
        </w:rPr>
        <w:t>projektowane 4 naziemne miejsca parkingowe</w:t>
      </w:r>
    </w:p>
    <w:p w:rsidR="00A72110" w:rsidRDefault="00A72110" w:rsidP="00A72110">
      <w:pPr>
        <w:pStyle w:val="Tekstpodstawowy3"/>
        <w:numPr>
          <w:ilvl w:val="0"/>
          <w:numId w:val="1"/>
        </w:numPr>
        <w:jc w:val="both"/>
        <w:rPr>
          <w:sz w:val="18"/>
          <w:szCs w:val="18"/>
          <w:u w:val="none"/>
        </w:rPr>
      </w:pPr>
      <w:r>
        <w:rPr>
          <w:b w:val="0"/>
          <w:bCs w:val="0"/>
          <w:sz w:val="18"/>
          <w:szCs w:val="18"/>
          <w:u w:val="none"/>
        </w:rPr>
        <w:t>budynek o trzech kondygnacjach nadziemnych</w:t>
      </w:r>
    </w:p>
    <w:p w:rsidR="00A72110" w:rsidRDefault="00A72110" w:rsidP="00A72110">
      <w:pPr>
        <w:pStyle w:val="Tekstpodstawowy3"/>
        <w:numPr>
          <w:ilvl w:val="0"/>
          <w:numId w:val="1"/>
        </w:numPr>
        <w:jc w:val="both"/>
        <w:rPr>
          <w:sz w:val="18"/>
          <w:szCs w:val="18"/>
          <w:u w:val="none"/>
        </w:rPr>
      </w:pPr>
      <w:r>
        <w:rPr>
          <w:b w:val="0"/>
          <w:bCs w:val="0"/>
          <w:sz w:val="18"/>
          <w:szCs w:val="18"/>
          <w:u w:val="none"/>
        </w:rPr>
        <w:t>geometria dachu – dach płaski</w:t>
      </w:r>
    </w:p>
    <w:p w:rsidR="00A72110" w:rsidRDefault="00A72110" w:rsidP="00A72110">
      <w:pPr>
        <w:pStyle w:val="Tekstpodstawowy3"/>
        <w:jc w:val="both"/>
        <w:rPr>
          <w:sz w:val="18"/>
          <w:szCs w:val="18"/>
          <w:u w:val="none"/>
        </w:rPr>
      </w:pPr>
    </w:p>
    <w:p w:rsidR="00A72110" w:rsidRDefault="00A72110" w:rsidP="00A72110">
      <w:pPr>
        <w:pStyle w:val="Tekstpodstawowy3"/>
        <w:numPr>
          <w:ilvl w:val="0"/>
          <w:numId w:val="2"/>
        </w:numPr>
        <w:jc w:val="both"/>
        <w:rPr>
          <w:sz w:val="18"/>
          <w:szCs w:val="18"/>
          <w:u w:val="none"/>
        </w:rPr>
      </w:pPr>
      <w:r>
        <w:rPr>
          <w:snapToGrid w:val="0"/>
          <w:sz w:val="18"/>
          <w:szCs w:val="18"/>
          <w:u w:val="none"/>
        </w:rPr>
        <w:t>wnioski złożone do planu miejscowego pismem z dnia 16.11.2023 r.:</w:t>
      </w:r>
    </w:p>
    <w:p w:rsidR="00A72110" w:rsidRDefault="00A72110" w:rsidP="00A72110">
      <w:pPr>
        <w:pStyle w:val="Tekstpodstawowy3"/>
        <w:jc w:val="both"/>
        <w:rPr>
          <w:b w:val="0"/>
          <w:bCs w:val="0"/>
          <w:i/>
          <w:iCs/>
          <w:snapToGrid w:val="0"/>
          <w:sz w:val="18"/>
          <w:szCs w:val="18"/>
          <w:u w:val="none"/>
        </w:rPr>
      </w:pPr>
      <w:r>
        <w:rPr>
          <w:b w:val="0"/>
          <w:bCs w:val="0"/>
          <w:i/>
          <w:iCs/>
          <w:snapToGrid w:val="0"/>
          <w:sz w:val="18"/>
          <w:szCs w:val="18"/>
          <w:u w:val="none"/>
        </w:rPr>
        <w:t>2)</w:t>
      </w:r>
      <w:r>
        <w:rPr>
          <w:b w:val="0"/>
          <w:bCs w:val="0"/>
          <w:i/>
          <w:iCs/>
          <w:sz w:val="18"/>
          <w:szCs w:val="18"/>
          <w:u w:val="none"/>
        </w:rPr>
        <w:t xml:space="preserve"> </w:t>
      </w:r>
      <w:r>
        <w:rPr>
          <w:b w:val="0"/>
          <w:bCs w:val="0"/>
          <w:i/>
          <w:iCs/>
          <w:snapToGrid w:val="0"/>
          <w:sz w:val="18"/>
          <w:szCs w:val="18"/>
          <w:u w:val="none"/>
        </w:rPr>
        <w:t>Uwzględnienie w zapisach i parametrach MPZP, następujących planów inwestycyjnych AGH:</w:t>
      </w:r>
    </w:p>
    <w:p w:rsidR="00A72110" w:rsidRDefault="00A72110" w:rsidP="00A72110">
      <w:pPr>
        <w:pStyle w:val="Tekstpodstawowy3"/>
        <w:jc w:val="both"/>
        <w:rPr>
          <w:b w:val="0"/>
          <w:bCs w:val="0"/>
          <w:i/>
          <w:iCs/>
          <w:sz w:val="18"/>
          <w:szCs w:val="18"/>
          <w:u w:val="none"/>
        </w:rPr>
      </w:pPr>
      <w:r>
        <w:rPr>
          <w:b w:val="0"/>
          <w:bCs w:val="0"/>
          <w:i/>
          <w:iCs/>
          <w:snapToGrid w:val="0"/>
          <w:sz w:val="18"/>
          <w:szCs w:val="18"/>
          <w:u w:val="none"/>
        </w:rPr>
        <w:t>- Rozbudowa zespołu budynków Cyfronet, rejon ulic Bydgoskiej, Kawiory, Budryka, Nawojki</w:t>
      </w:r>
    </w:p>
    <w:p w:rsidR="00A72110" w:rsidRDefault="00A72110" w:rsidP="00A72110">
      <w:pPr>
        <w:pStyle w:val="Tekstpodstawowy3"/>
        <w:jc w:val="both"/>
        <w:rPr>
          <w:b w:val="0"/>
          <w:bCs w:val="0"/>
          <w:i/>
          <w:iCs/>
          <w:snapToGrid w:val="0"/>
          <w:sz w:val="18"/>
          <w:szCs w:val="18"/>
          <w:u w:val="none"/>
        </w:rPr>
      </w:pPr>
      <w:r>
        <w:rPr>
          <w:b w:val="0"/>
          <w:bCs w:val="0"/>
          <w:i/>
          <w:iCs/>
          <w:sz w:val="18"/>
          <w:szCs w:val="18"/>
          <w:u w:val="none"/>
        </w:rPr>
        <w:t>10) Ustalenie wymaganego udziału powierzchni biologicznie czynnej dla terenów usługowych na poziomie maksymalnym 20%.</w:t>
      </w:r>
    </w:p>
    <w:p w:rsidR="00A72110" w:rsidRDefault="00A72110" w:rsidP="00A72110">
      <w:pPr>
        <w:pStyle w:val="Default"/>
        <w:jc w:val="both"/>
        <w:rPr>
          <w:rFonts w:ascii="Arial" w:hAnsi="Arial" w:cs="Arial"/>
          <w:i/>
          <w:iCs/>
          <w:color w:val="auto"/>
          <w:sz w:val="18"/>
          <w:szCs w:val="18"/>
        </w:rPr>
      </w:pPr>
      <w:r>
        <w:rPr>
          <w:rFonts w:ascii="Arial" w:hAnsi="Arial" w:cs="Arial"/>
          <w:i/>
          <w:iCs/>
          <w:sz w:val="18"/>
          <w:szCs w:val="18"/>
        </w:rPr>
        <w:t>13)</w:t>
      </w:r>
      <w:r>
        <w:rPr>
          <w:rFonts w:ascii="Arial" w:hAnsi="Arial" w:cs="Arial"/>
          <w:i/>
          <w:iCs/>
          <w:color w:val="auto"/>
          <w:sz w:val="18"/>
          <w:szCs w:val="18"/>
        </w:rPr>
        <w:t xml:space="preserve"> Określenie </w:t>
      </w:r>
      <w:r>
        <w:rPr>
          <w:rFonts w:ascii="Arial" w:hAnsi="Arial" w:cs="Arial"/>
          <w:i/>
          <w:iCs/>
          <w:sz w:val="18"/>
          <w:szCs w:val="18"/>
        </w:rPr>
        <w:t xml:space="preserve">(uszczegółowienie) w MPZP obliczeniowej wartości procentowej do ujmowania w bilansach powierzchni biologicznie czynnej organizowanej  na dachach zielonych, tarasach, zadaszeniach, stropach parkingów podziemnych, nawierzchniach z </w:t>
      </w:r>
      <w:proofErr w:type="spellStart"/>
      <w:r>
        <w:rPr>
          <w:rFonts w:ascii="Arial" w:hAnsi="Arial" w:cs="Arial"/>
          <w:i/>
          <w:iCs/>
          <w:sz w:val="18"/>
          <w:szCs w:val="18"/>
        </w:rPr>
        <w:t>geokraty</w:t>
      </w:r>
      <w:proofErr w:type="spellEnd"/>
      <w:r>
        <w:rPr>
          <w:rFonts w:ascii="Arial" w:hAnsi="Arial" w:cs="Arial"/>
          <w:i/>
          <w:iCs/>
          <w:sz w:val="18"/>
          <w:szCs w:val="18"/>
        </w:rPr>
        <w:t>, nawierzchniach z betonu wodoprzepuszczalnego, w ogrodach wertykalnych, kuwetach, oczkach wodnych i innych dopuszczalnych rozwiązaniach</w:t>
      </w:r>
    </w:p>
    <w:p w:rsidR="00A72110" w:rsidRDefault="00A72110" w:rsidP="00A72110">
      <w:pPr>
        <w:pStyle w:val="Tekstpodstawowy3"/>
        <w:jc w:val="both"/>
        <w:rPr>
          <w:b w:val="0"/>
          <w:bCs w:val="0"/>
          <w:i/>
          <w:iCs/>
          <w:sz w:val="18"/>
          <w:szCs w:val="18"/>
          <w:u w:val="none"/>
        </w:rPr>
      </w:pPr>
      <w:r>
        <w:rPr>
          <w:b w:val="0"/>
          <w:bCs w:val="0"/>
          <w:i/>
          <w:iCs/>
          <w:sz w:val="18"/>
          <w:szCs w:val="18"/>
          <w:u w:val="none"/>
        </w:rPr>
        <w:t>14) Ustalenie dla Kampusu AGH wskaźnika intensywności zabudowy nadziemnej na poziomie 4.0 dla całego terenu objętego projektem planu.</w:t>
      </w:r>
    </w:p>
    <w:p w:rsidR="00A72110" w:rsidRDefault="00A72110" w:rsidP="00A72110">
      <w:pPr>
        <w:pStyle w:val="Tekstpodstawowy3"/>
        <w:jc w:val="both"/>
        <w:rPr>
          <w:b w:val="0"/>
          <w:bCs w:val="0"/>
          <w:i/>
          <w:iCs/>
          <w:snapToGrid w:val="0"/>
          <w:sz w:val="18"/>
          <w:szCs w:val="18"/>
          <w:u w:val="none"/>
        </w:rPr>
      </w:pPr>
      <w:r>
        <w:rPr>
          <w:b w:val="0"/>
          <w:bCs w:val="0"/>
          <w:i/>
          <w:iCs/>
          <w:sz w:val="18"/>
          <w:szCs w:val="18"/>
          <w:u w:val="none"/>
        </w:rPr>
        <w:t>15) Umożliwienie przekształceń układu komunikacyjnego i rodzajów nawierzchni kampusu AGH</w:t>
      </w:r>
      <w:r>
        <w:rPr>
          <w:b w:val="0"/>
          <w:bCs w:val="0"/>
          <w:i/>
          <w:iCs/>
          <w:snapToGrid w:val="0"/>
          <w:sz w:val="18"/>
          <w:szCs w:val="18"/>
          <w:u w:val="none"/>
        </w:rPr>
        <w:t>)</w:t>
      </w:r>
    </w:p>
    <w:p w:rsidR="00A72110" w:rsidRDefault="00A72110" w:rsidP="00A72110">
      <w:pPr>
        <w:pStyle w:val="Tekstpodstawowy3"/>
        <w:jc w:val="both"/>
        <w:rPr>
          <w:b w:val="0"/>
          <w:bCs w:val="0"/>
          <w:i/>
          <w:iCs/>
          <w:snapToGrid w:val="0"/>
          <w:sz w:val="18"/>
          <w:szCs w:val="18"/>
          <w:u w:val="none"/>
        </w:rPr>
      </w:pPr>
      <w:r>
        <w:rPr>
          <w:b w:val="0"/>
          <w:bCs w:val="0"/>
          <w:i/>
          <w:iCs/>
          <w:snapToGrid w:val="0"/>
          <w:sz w:val="18"/>
          <w:szCs w:val="18"/>
          <w:u w:val="none"/>
        </w:rPr>
        <w:t>18) Odstąpienie od wyznaczania wskaźników dla wymaganej ilości stanowisk postojowych na terenie kampusu AGH.</w:t>
      </w:r>
    </w:p>
    <w:p w:rsidR="00A72110" w:rsidRDefault="00A72110" w:rsidP="00A72110">
      <w:pPr>
        <w:pStyle w:val="Tekstpodstawowy3"/>
        <w:jc w:val="both"/>
        <w:rPr>
          <w:b w:val="0"/>
          <w:bCs w:val="0"/>
          <w:i/>
          <w:iCs/>
          <w:snapToGrid w:val="0"/>
          <w:sz w:val="18"/>
          <w:szCs w:val="18"/>
          <w:u w:val="none"/>
        </w:rPr>
      </w:pPr>
      <w:r>
        <w:rPr>
          <w:b w:val="0"/>
          <w:bCs w:val="0"/>
          <w:i/>
          <w:iCs/>
          <w:snapToGrid w:val="0"/>
          <w:sz w:val="18"/>
          <w:szCs w:val="18"/>
          <w:u w:val="none"/>
        </w:rPr>
        <w:t>21) Zakwalifikowanie wyznaczanych w Projekcie Planu przewidywanych terenów usługowych jako obszarów zabudowy Śródmiejskiej.</w:t>
      </w:r>
    </w:p>
    <w:p w:rsidR="00A72110" w:rsidRDefault="00A72110" w:rsidP="00A72110">
      <w:pPr>
        <w:pStyle w:val="Tekstpodstawowy3"/>
        <w:jc w:val="both"/>
        <w:rPr>
          <w:b w:val="0"/>
          <w:bCs w:val="0"/>
          <w:snapToGrid w:val="0"/>
          <w:sz w:val="18"/>
          <w:szCs w:val="18"/>
          <w:u w:val="none"/>
        </w:rPr>
      </w:pPr>
      <w:r>
        <w:rPr>
          <w:b w:val="0"/>
          <w:bCs w:val="0"/>
          <w:i/>
          <w:iCs/>
          <w:snapToGrid w:val="0"/>
          <w:sz w:val="18"/>
          <w:szCs w:val="18"/>
          <w:u w:val="none"/>
        </w:rPr>
        <w:t>22) Dopuszczenie lokalizowania budynków w granicach działek i na styku z innymi budynkami.</w:t>
      </w:r>
    </w:p>
    <w:p w:rsidR="00A72110" w:rsidRDefault="00A72110" w:rsidP="00A72110">
      <w:pPr>
        <w:pStyle w:val="Tekstpodstawowy3"/>
        <w:jc w:val="both"/>
        <w:rPr>
          <w:sz w:val="18"/>
          <w:szCs w:val="18"/>
          <w:u w:val="none"/>
        </w:rPr>
      </w:pPr>
    </w:p>
    <w:p w:rsidR="00A72110" w:rsidRDefault="00A72110" w:rsidP="00A72110">
      <w:pPr>
        <w:pStyle w:val="Tekstpodstawowy3"/>
        <w:numPr>
          <w:ilvl w:val="0"/>
          <w:numId w:val="2"/>
        </w:numPr>
        <w:jc w:val="both"/>
        <w:rPr>
          <w:sz w:val="18"/>
          <w:szCs w:val="18"/>
          <w:u w:val="none"/>
        </w:rPr>
      </w:pPr>
      <w:r>
        <w:rPr>
          <w:snapToGrid w:val="0"/>
          <w:sz w:val="18"/>
          <w:szCs w:val="18"/>
          <w:u w:val="none"/>
        </w:rPr>
        <w:t>zapisy wynikające z koncepcji planu miejscowego z dnia 26.08.2024 r.:</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 24. 1. Wyznacza się Tereny usług nauki oznaczone symbolami </w:t>
      </w:r>
      <w:r>
        <w:rPr>
          <w:rFonts w:ascii="Arial" w:hAnsi="Arial" w:cs="Arial"/>
          <w:b/>
          <w:bCs/>
          <w:i/>
          <w:iCs/>
          <w:sz w:val="18"/>
          <w:szCs w:val="18"/>
        </w:rPr>
        <w:t>5UN</w:t>
      </w:r>
      <w:r>
        <w:rPr>
          <w:rFonts w:ascii="Arial" w:hAnsi="Arial" w:cs="Arial"/>
          <w:i/>
          <w:iCs/>
          <w:sz w:val="18"/>
          <w:szCs w:val="18"/>
        </w:rPr>
        <w:t>, 6UN, 7UN, 8UN, 10UN, 11UN, 12UN, 13UN, 14UN, 15UN:</w:t>
      </w:r>
    </w:p>
    <w:p w:rsidR="00A72110" w:rsidRDefault="00A72110" w:rsidP="00A72110">
      <w:pPr>
        <w:pStyle w:val="Default"/>
        <w:jc w:val="both"/>
        <w:rPr>
          <w:rFonts w:ascii="Arial" w:hAnsi="Arial" w:cs="Arial"/>
          <w:i/>
          <w:iCs/>
          <w:sz w:val="18"/>
          <w:szCs w:val="18"/>
        </w:rPr>
      </w:pPr>
      <w:r>
        <w:rPr>
          <w:rFonts w:ascii="Arial" w:hAnsi="Arial" w:cs="Arial"/>
          <w:i/>
          <w:iCs/>
          <w:sz w:val="18"/>
          <w:szCs w:val="18"/>
        </w:rPr>
        <w:t>§ 24. 2. Ustala się klasę przeznaczenia uzupełniającego:</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1) teren usług gastronomii; </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2) teren usług zdrowia i pomocy społecznej; </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3) teren usług sportu i rekreacji; </w:t>
      </w:r>
    </w:p>
    <w:p w:rsidR="00A72110" w:rsidRDefault="00A72110" w:rsidP="00A72110">
      <w:pPr>
        <w:pStyle w:val="Default"/>
        <w:jc w:val="both"/>
        <w:rPr>
          <w:rFonts w:ascii="Arial" w:hAnsi="Arial" w:cs="Arial"/>
          <w:i/>
          <w:iCs/>
          <w:sz w:val="18"/>
          <w:szCs w:val="18"/>
        </w:rPr>
      </w:pPr>
      <w:r>
        <w:rPr>
          <w:rFonts w:ascii="Arial" w:hAnsi="Arial" w:cs="Arial"/>
          <w:i/>
          <w:iCs/>
          <w:sz w:val="18"/>
          <w:szCs w:val="18"/>
        </w:rPr>
        <w:t>4) teren usług kultury i rozrywki;</w:t>
      </w:r>
      <w:r>
        <w:rPr>
          <w:sz w:val="18"/>
          <w:szCs w:val="18"/>
        </w:rPr>
        <w:t xml:space="preserve"> </w:t>
      </w:r>
    </w:p>
    <w:p w:rsidR="00A72110" w:rsidRDefault="00A72110" w:rsidP="00A72110">
      <w:pPr>
        <w:pStyle w:val="Default"/>
        <w:jc w:val="both"/>
        <w:rPr>
          <w:sz w:val="18"/>
          <w:szCs w:val="18"/>
        </w:rPr>
      </w:pPr>
      <w:r>
        <w:rPr>
          <w:rFonts w:ascii="Arial" w:hAnsi="Arial" w:cs="Arial"/>
          <w:i/>
          <w:iCs/>
          <w:sz w:val="18"/>
          <w:szCs w:val="18"/>
        </w:rPr>
        <w:t>§ 24. 3. W zakresie kształtowania zabudowy i zagospodarowania terenu ustala się:</w:t>
      </w:r>
      <w:r>
        <w:rPr>
          <w:sz w:val="18"/>
          <w:szCs w:val="18"/>
        </w:rPr>
        <w:t xml:space="preserve"> </w:t>
      </w:r>
    </w:p>
    <w:p w:rsidR="00A72110" w:rsidRDefault="00A72110" w:rsidP="00A72110">
      <w:pPr>
        <w:pStyle w:val="Default"/>
        <w:numPr>
          <w:ilvl w:val="0"/>
          <w:numId w:val="6"/>
        </w:numPr>
        <w:jc w:val="both"/>
        <w:rPr>
          <w:rFonts w:ascii="Arial" w:hAnsi="Arial" w:cs="Arial"/>
          <w:i/>
          <w:iCs/>
          <w:sz w:val="18"/>
          <w:szCs w:val="18"/>
        </w:rPr>
      </w:pPr>
      <w:r>
        <w:rPr>
          <w:rFonts w:ascii="Arial" w:hAnsi="Arial" w:cs="Arial"/>
          <w:i/>
          <w:iCs/>
          <w:sz w:val="18"/>
          <w:szCs w:val="18"/>
        </w:rPr>
        <w:t xml:space="preserve">dla terenu </w:t>
      </w:r>
      <w:r>
        <w:rPr>
          <w:rFonts w:ascii="Arial" w:hAnsi="Arial" w:cs="Arial"/>
          <w:b/>
          <w:bCs/>
          <w:i/>
          <w:iCs/>
          <w:sz w:val="18"/>
          <w:szCs w:val="18"/>
        </w:rPr>
        <w:t>5UN</w:t>
      </w:r>
      <w:r>
        <w:rPr>
          <w:rFonts w:ascii="Arial" w:hAnsi="Arial" w:cs="Arial"/>
          <w:i/>
          <w:iCs/>
          <w:sz w:val="18"/>
          <w:szCs w:val="18"/>
        </w:rPr>
        <w:t>:</w:t>
      </w:r>
    </w:p>
    <w:p w:rsidR="00A72110" w:rsidRDefault="00A72110" w:rsidP="00A72110">
      <w:pPr>
        <w:pStyle w:val="Default"/>
        <w:numPr>
          <w:ilvl w:val="0"/>
          <w:numId w:val="7"/>
        </w:numPr>
        <w:jc w:val="both"/>
        <w:rPr>
          <w:rFonts w:ascii="Arial" w:hAnsi="Arial" w:cs="Arial"/>
          <w:i/>
          <w:iCs/>
          <w:sz w:val="18"/>
          <w:szCs w:val="18"/>
        </w:rPr>
      </w:pPr>
      <w:r>
        <w:rPr>
          <w:rFonts w:ascii="Arial" w:hAnsi="Arial" w:cs="Arial"/>
          <w:i/>
          <w:iCs/>
          <w:sz w:val="18"/>
          <w:szCs w:val="18"/>
        </w:rPr>
        <w:t xml:space="preserve">minimalny udział powierzchni biologicznie czynnej – </w:t>
      </w:r>
      <w:r>
        <w:rPr>
          <w:rFonts w:ascii="Arial" w:hAnsi="Arial" w:cs="Arial"/>
          <w:b/>
          <w:bCs/>
          <w:i/>
          <w:iCs/>
          <w:sz w:val="18"/>
          <w:szCs w:val="18"/>
        </w:rPr>
        <w:t>20%,</w:t>
      </w:r>
    </w:p>
    <w:p w:rsidR="00A72110" w:rsidRDefault="00A72110" w:rsidP="00A72110">
      <w:pPr>
        <w:pStyle w:val="Default"/>
        <w:numPr>
          <w:ilvl w:val="0"/>
          <w:numId w:val="7"/>
        </w:numPr>
        <w:jc w:val="both"/>
        <w:rPr>
          <w:rFonts w:ascii="Arial" w:hAnsi="Arial" w:cs="Arial"/>
          <w:i/>
          <w:iCs/>
          <w:sz w:val="18"/>
          <w:szCs w:val="18"/>
        </w:rPr>
      </w:pPr>
      <w:r>
        <w:rPr>
          <w:rFonts w:ascii="Arial" w:hAnsi="Arial" w:cs="Arial"/>
          <w:i/>
          <w:iCs/>
          <w:sz w:val="18"/>
          <w:szCs w:val="18"/>
        </w:rPr>
        <w:t xml:space="preserve">minimalną nadziemną intensywność zabudowy – </w:t>
      </w:r>
      <w:r>
        <w:rPr>
          <w:rFonts w:ascii="Arial" w:hAnsi="Arial" w:cs="Arial"/>
          <w:b/>
          <w:bCs/>
          <w:i/>
          <w:iCs/>
          <w:sz w:val="18"/>
          <w:szCs w:val="18"/>
        </w:rPr>
        <w:t>0,1</w:t>
      </w:r>
      <w:r>
        <w:rPr>
          <w:rFonts w:ascii="Arial" w:hAnsi="Arial" w:cs="Arial"/>
          <w:i/>
          <w:iCs/>
          <w:sz w:val="18"/>
          <w:szCs w:val="18"/>
        </w:rPr>
        <w:t>,</w:t>
      </w:r>
    </w:p>
    <w:p w:rsidR="00A72110" w:rsidRDefault="00A72110" w:rsidP="00A72110">
      <w:pPr>
        <w:pStyle w:val="Default"/>
        <w:numPr>
          <w:ilvl w:val="0"/>
          <w:numId w:val="7"/>
        </w:numPr>
        <w:jc w:val="both"/>
        <w:rPr>
          <w:rFonts w:ascii="Arial" w:hAnsi="Arial" w:cs="Arial"/>
          <w:i/>
          <w:iCs/>
          <w:sz w:val="18"/>
          <w:szCs w:val="18"/>
        </w:rPr>
      </w:pPr>
      <w:r>
        <w:rPr>
          <w:rFonts w:ascii="Arial" w:hAnsi="Arial" w:cs="Arial"/>
          <w:i/>
          <w:iCs/>
          <w:sz w:val="18"/>
          <w:szCs w:val="18"/>
        </w:rPr>
        <w:t xml:space="preserve">maksymalną nadziemna intensywność zabudowy – </w:t>
      </w:r>
      <w:r>
        <w:rPr>
          <w:rFonts w:ascii="Arial" w:hAnsi="Arial" w:cs="Arial"/>
          <w:b/>
          <w:bCs/>
          <w:i/>
          <w:iCs/>
          <w:sz w:val="18"/>
          <w:szCs w:val="18"/>
        </w:rPr>
        <w:t>2,5</w:t>
      </w:r>
      <w:r>
        <w:rPr>
          <w:rFonts w:ascii="Arial" w:hAnsi="Arial" w:cs="Arial"/>
          <w:i/>
          <w:iCs/>
          <w:sz w:val="18"/>
          <w:szCs w:val="18"/>
        </w:rPr>
        <w:t>,</w:t>
      </w:r>
    </w:p>
    <w:p w:rsidR="00A72110" w:rsidRDefault="00A72110" w:rsidP="00A72110">
      <w:pPr>
        <w:pStyle w:val="Default"/>
        <w:numPr>
          <w:ilvl w:val="0"/>
          <w:numId w:val="7"/>
        </w:numPr>
        <w:jc w:val="both"/>
        <w:rPr>
          <w:rFonts w:ascii="Arial" w:hAnsi="Arial" w:cs="Arial"/>
          <w:i/>
          <w:iCs/>
          <w:sz w:val="18"/>
          <w:szCs w:val="18"/>
        </w:rPr>
      </w:pPr>
      <w:r>
        <w:rPr>
          <w:rFonts w:ascii="Arial" w:hAnsi="Arial" w:cs="Arial"/>
          <w:i/>
          <w:iCs/>
          <w:sz w:val="18"/>
          <w:szCs w:val="18"/>
        </w:rPr>
        <w:t xml:space="preserve">maksymalny udział powierzchni zabudowy – </w:t>
      </w:r>
      <w:r>
        <w:rPr>
          <w:rFonts w:ascii="Arial" w:hAnsi="Arial" w:cs="Arial"/>
          <w:b/>
          <w:bCs/>
          <w:i/>
          <w:iCs/>
          <w:sz w:val="18"/>
          <w:szCs w:val="18"/>
        </w:rPr>
        <w:t>70%,</w:t>
      </w:r>
    </w:p>
    <w:p w:rsidR="00A72110" w:rsidRDefault="00A72110" w:rsidP="00A72110">
      <w:pPr>
        <w:pStyle w:val="Default"/>
        <w:numPr>
          <w:ilvl w:val="0"/>
          <w:numId w:val="7"/>
        </w:numPr>
        <w:jc w:val="both"/>
        <w:rPr>
          <w:rFonts w:ascii="Arial" w:hAnsi="Arial" w:cs="Arial"/>
          <w:i/>
          <w:iCs/>
          <w:sz w:val="18"/>
          <w:szCs w:val="18"/>
        </w:rPr>
      </w:pPr>
      <w:r>
        <w:rPr>
          <w:rFonts w:ascii="Arial" w:hAnsi="Arial" w:cs="Arial"/>
          <w:i/>
          <w:iCs/>
          <w:sz w:val="18"/>
          <w:szCs w:val="18"/>
        </w:rPr>
        <w:t xml:space="preserve">maksymalna wysokość zabudowy – </w:t>
      </w:r>
      <w:r>
        <w:rPr>
          <w:rFonts w:ascii="Arial" w:hAnsi="Arial" w:cs="Arial"/>
          <w:b/>
          <w:bCs/>
          <w:i/>
          <w:iCs/>
          <w:sz w:val="18"/>
          <w:szCs w:val="18"/>
        </w:rPr>
        <w:t>18 m</w:t>
      </w:r>
      <w:r>
        <w:rPr>
          <w:rFonts w:ascii="Arial" w:hAnsi="Arial" w:cs="Arial"/>
          <w:i/>
          <w:iCs/>
          <w:sz w:val="18"/>
          <w:szCs w:val="18"/>
        </w:rPr>
        <w:t>,</w:t>
      </w:r>
    </w:p>
    <w:p w:rsidR="00A72110" w:rsidRDefault="00A72110" w:rsidP="00A72110">
      <w:pPr>
        <w:pStyle w:val="Default"/>
        <w:numPr>
          <w:ilvl w:val="0"/>
          <w:numId w:val="7"/>
        </w:numPr>
        <w:jc w:val="both"/>
        <w:rPr>
          <w:rFonts w:ascii="Arial" w:hAnsi="Arial" w:cs="Arial"/>
          <w:i/>
          <w:iCs/>
          <w:sz w:val="18"/>
          <w:szCs w:val="18"/>
        </w:rPr>
      </w:pPr>
      <w:r>
        <w:rPr>
          <w:rFonts w:ascii="Arial" w:hAnsi="Arial" w:cs="Arial"/>
          <w:i/>
          <w:iCs/>
          <w:sz w:val="18"/>
          <w:szCs w:val="18"/>
        </w:rPr>
        <w:t xml:space="preserve">maksymalną wysokość obiektu budowlanego – </w:t>
      </w:r>
      <w:r>
        <w:rPr>
          <w:rFonts w:ascii="Arial" w:hAnsi="Arial" w:cs="Arial"/>
          <w:b/>
          <w:bCs/>
          <w:i/>
          <w:iCs/>
          <w:sz w:val="18"/>
          <w:szCs w:val="18"/>
        </w:rPr>
        <w:t>20 m</w:t>
      </w:r>
      <w:r>
        <w:rPr>
          <w:rFonts w:ascii="Arial" w:hAnsi="Arial" w:cs="Arial"/>
          <w:i/>
          <w:iCs/>
          <w:sz w:val="18"/>
          <w:szCs w:val="18"/>
        </w:rPr>
        <w:t>,</w:t>
      </w:r>
    </w:p>
    <w:p w:rsidR="00A72110" w:rsidRDefault="00A72110" w:rsidP="00A72110">
      <w:pPr>
        <w:pStyle w:val="Default"/>
        <w:ind w:left="360"/>
        <w:jc w:val="both"/>
        <w:rPr>
          <w:rFonts w:ascii="Arial" w:hAnsi="Arial" w:cs="Arial"/>
          <w:i/>
          <w:iCs/>
          <w:sz w:val="18"/>
          <w:szCs w:val="18"/>
        </w:rPr>
      </w:pPr>
    </w:p>
    <w:p w:rsidR="00A72110" w:rsidRDefault="00A72110" w:rsidP="00A72110">
      <w:pPr>
        <w:pStyle w:val="Tekstpodstawowy3"/>
        <w:numPr>
          <w:ilvl w:val="0"/>
          <w:numId w:val="2"/>
        </w:numPr>
        <w:jc w:val="both"/>
        <w:rPr>
          <w:sz w:val="18"/>
          <w:szCs w:val="18"/>
          <w:u w:val="none"/>
        </w:rPr>
      </w:pPr>
      <w:r>
        <w:rPr>
          <w:snapToGrid w:val="0"/>
          <w:sz w:val="18"/>
          <w:szCs w:val="18"/>
          <w:u w:val="none"/>
        </w:rPr>
        <w:t>niezgodności inwestycji z koncepcją planu miejscowego:</w:t>
      </w:r>
    </w:p>
    <w:p w:rsidR="00A72110" w:rsidRDefault="00A72110" w:rsidP="00A72110">
      <w:pPr>
        <w:pStyle w:val="Tekstpodstawowy3"/>
        <w:jc w:val="both"/>
        <w:rPr>
          <w:sz w:val="18"/>
          <w:szCs w:val="18"/>
          <w:u w:val="none"/>
        </w:rPr>
      </w:pPr>
    </w:p>
    <w:p w:rsidR="00A72110" w:rsidRDefault="00A72110" w:rsidP="00A72110">
      <w:pPr>
        <w:pStyle w:val="Tekstpodstawowy3"/>
        <w:numPr>
          <w:ilvl w:val="0"/>
          <w:numId w:val="2"/>
        </w:numPr>
        <w:jc w:val="both"/>
        <w:rPr>
          <w:sz w:val="18"/>
          <w:szCs w:val="18"/>
          <w:u w:val="none"/>
        </w:rPr>
      </w:pPr>
      <w:r>
        <w:rPr>
          <w:sz w:val="18"/>
          <w:szCs w:val="18"/>
          <w:u w:val="none"/>
        </w:rPr>
        <w:t>wnoszone uwagi:</w:t>
      </w:r>
    </w:p>
    <w:p w:rsidR="00A72110" w:rsidRDefault="00A72110" w:rsidP="00A72110">
      <w:pPr>
        <w:pStyle w:val="Tekstpodstawowy3"/>
        <w:jc w:val="both"/>
        <w:rPr>
          <w:b w:val="0"/>
          <w:bCs w:val="0"/>
          <w:sz w:val="18"/>
          <w:szCs w:val="18"/>
          <w:u w:val="none"/>
        </w:rPr>
      </w:pPr>
      <w:r>
        <w:rPr>
          <w:b w:val="0"/>
          <w:bCs w:val="0"/>
          <w:sz w:val="18"/>
          <w:szCs w:val="18"/>
          <w:u w:val="none"/>
        </w:rPr>
        <w:t>-      uwzględnienie wydanego pozwolenia na budowę nr 2425/6740.1/2017</w:t>
      </w:r>
    </w:p>
    <w:p w:rsidR="00A72110" w:rsidRDefault="00A72110" w:rsidP="00A72110">
      <w:pPr>
        <w:pStyle w:val="Tekstpodstawowy3"/>
        <w:jc w:val="both"/>
        <w:rPr>
          <w:snapToGrid w:val="0"/>
          <w:sz w:val="18"/>
          <w:szCs w:val="18"/>
          <w:u w:val="none"/>
        </w:rPr>
      </w:pPr>
    </w:p>
    <w:p w:rsidR="00A72110" w:rsidRDefault="00A72110" w:rsidP="00A72110">
      <w:pPr>
        <w:pStyle w:val="Tekstpodstawowy3"/>
        <w:jc w:val="both"/>
        <w:rPr>
          <w:snapToGrid w:val="0"/>
          <w:sz w:val="18"/>
          <w:szCs w:val="18"/>
          <w:u w:val="none"/>
        </w:rPr>
      </w:pPr>
    </w:p>
    <w:p w:rsidR="00A72110" w:rsidRDefault="00A72110" w:rsidP="00A72110">
      <w:pPr>
        <w:pStyle w:val="Tekstpodstawowy3"/>
        <w:jc w:val="center"/>
        <w:rPr>
          <w:b w:val="0"/>
          <w:bCs w:val="0"/>
          <w:u w:val="none"/>
        </w:rPr>
      </w:pPr>
      <w:r>
        <w:rPr>
          <w:color w:val="008080"/>
          <w:u w:val="none"/>
        </w:rPr>
        <w:br w:type="page"/>
      </w:r>
      <w:r>
        <w:rPr>
          <w:color w:val="008080"/>
          <w:u w:val="none"/>
        </w:rPr>
        <w:lastRenderedPageBreak/>
        <w:t xml:space="preserve">31. Budowa budynku biurowego dla potrzeb ACK Cyfronet </w:t>
      </w:r>
      <w:r>
        <w:rPr>
          <w:color w:val="008080"/>
          <w:u w:val="none"/>
        </w:rPr>
        <w:br/>
      </w:r>
      <w:r>
        <w:rPr>
          <w:b w:val="0"/>
          <w:bCs w:val="0"/>
          <w:color w:val="008080"/>
          <w:u w:val="none"/>
        </w:rPr>
        <w:t>(decyzja nr 313/6740.2/2024):</w:t>
      </w:r>
    </w:p>
    <w:p w:rsidR="00A72110" w:rsidRDefault="00A72110" w:rsidP="00A72110">
      <w:pPr>
        <w:pStyle w:val="Tekstpodstawowy3"/>
        <w:jc w:val="both"/>
        <w:rPr>
          <w:sz w:val="18"/>
          <w:szCs w:val="18"/>
        </w:rPr>
      </w:pPr>
    </w:p>
    <w:p w:rsidR="00A72110" w:rsidRDefault="00A72110" w:rsidP="00A72110">
      <w:pPr>
        <w:pStyle w:val="Tekstpodstawowy3"/>
        <w:numPr>
          <w:ilvl w:val="0"/>
          <w:numId w:val="3"/>
        </w:numPr>
        <w:jc w:val="both"/>
        <w:rPr>
          <w:sz w:val="18"/>
          <w:szCs w:val="18"/>
          <w:u w:val="none"/>
        </w:rPr>
      </w:pPr>
      <w:r>
        <w:rPr>
          <w:sz w:val="18"/>
          <w:szCs w:val="18"/>
          <w:u w:val="none"/>
        </w:rPr>
        <w:t xml:space="preserve">położenie: </w:t>
      </w:r>
      <w:r>
        <w:rPr>
          <w:b w:val="0"/>
          <w:bCs w:val="0"/>
          <w:sz w:val="18"/>
          <w:szCs w:val="18"/>
          <w:u w:val="none"/>
        </w:rPr>
        <w:t>obszar planistyczny 5UN, w narożniku ulic Kawiory i Nawojki</w:t>
      </w:r>
    </w:p>
    <w:p w:rsidR="00A72110" w:rsidRDefault="00A72110" w:rsidP="00A72110">
      <w:pPr>
        <w:pStyle w:val="Tekstpodstawowy3"/>
        <w:jc w:val="both"/>
        <w:rPr>
          <w:sz w:val="18"/>
          <w:szCs w:val="18"/>
          <w:u w:val="none"/>
        </w:rPr>
      </w:pPr>
    </w:p>
    <w:p w:rsidR="00A72110" w:rsidRDefault="00A72110" w:rsidP="00A72110">
      <w:pPr>
        <w:pStyle w:val="Tekstpodstawowy3"/>
        <w:numPr>
          <w:ilvl w:val="0"/>
          <w:numId w:val="3"/>
        </w:numPr>
        <w:jc w:val="both"/>
        <w:rPr>
          <w:sz w:val="18"/>
          <w:szCs w:val="18"/>
          <w:u w:val="none"/>
        </w:rPr>
      </w:pPr>
      <w:r>
        <w:rPr>
          <w:sz w:val="18"/>
          <w:szCs w:val="18"/>
          <w:u w:val="none"/>
        </w:rPr>
        <w:t>opis inwestycji:</w:t>
      </w:r>
    </w:p>
    <w:p w:rsidR="00A72110" w:rsidRDefault="00A72110" w:rsidP="00A72110">
      <w:pPr>
        <w:pStyle w:val="Tekstpodstawowy3"/>
        <w:numPr>
          <w:ilvl w:val="0"/>
          <w:numId w:val="1"/>
        </w:numPr>
        <w:jc w:val="both"/>
        <w:rPr>
          <w:b w:val="0"/>
          <w:bCs w:val="0"/>
          <w:sz w:val="18"/>
          <w:szCs w:val="18"/>
          <w:u w:val="none"/>
        </w:rPr>
      </w:pPr>
      <w:r>
        <w:rPr>
          <w:b w:val="0"/>
          <w:bCs w:val="0"/>
          <w:sz w:val="18"/>
          <w:szCs w:val="18"/>
          <w:u w:val="none"/>
        </w:rPr>
        <w:t>budynek o funkcji biurowej</w:t>
      </w:r>
    </w:p>
    <w:p w:rsidR="00A72110" w:rsidRDefault="00A72110" w:rsidP="00A72110">
      <w:pPr>
        <w:pStyle w:val="Tekstpodstawowy3"/>
        <w:numPr>
          <w:ilvl w:val="0"/>
          <w:numId w:val="1"/>
        </w:numPr>
        <w:jc w:val="both"/>
        <w:rPr>
          <w:b w:val="0"/>
          <w:bCs w:val="0"/>
          <w:sz w:val="18"/>
          <w:szCs w:val="18"/>
          <w:u w:val="none"/>
        </w:rPr>
      </w:pPr>
      <w:r>
        <w:rPr>
          <w:b w:val="0"/>
          <w:bCs w:val="0"/>
          <w:sz w:val="18"/>
          <w:szCs w:val="18"/>
          <w:u w:val="none"/>
        </w:rPr>
        <w:t>obiekt o czterech kondygnacjach nadziemnych</w:t>
      </w:r>
    </w:p>
    <w:p w:rsidR="00A72110" w:rsidRDefault="00A72110" w:rsidP="00A72110">
      <w:pPr>
        <w:pStyle w:val="Tekstpodstawowy3"/>
        <w:jc w:val="both"/>
        <w:rPr>
          <w:b w:val="0"/>
          <w:bCs w:val="0"/>
          <w:sz w:val="18"/>
          <w:szCs w:val="18"/>
          <w:u w:val="none"/>
        </w:rPr>
      </w:pPr>
    </w:p>
    <w:p w:rsidR="00A72110" w:rsidRDefault="00A72110" w:rsidP="00A72110">
      <w:pPr>
        <w:pStyle w:val="Tekstpodstawowy3"/>
        <w:numPr>
          <w:ilvl w:val="0"/>
          <w:numId w:val="3"/>
        </w:numPr>
        <w:jc w:val="both"/>
        <w:rPr>
          <w:sz w:val="18"/>
          <w:szCs w:val="18"/>
          <w:u w:val="none"/>
        </w:rPr>
      </w:pPr>
      <w:r>
        <w:rPr>
          <w:snapToGrid w:val="0"/>
          <w:sz w:val="18"/>
          <w:szCs w:val="18"/>
          <w:u w:val="none"/>
        </w:rPr>
        <w:t>wnioski złożone do planu miejscowego pismem z dnia 16.11.2023 r.:</w:t>
      </w:r>
    </w:p>
    <w:p w:rsidR="00A72110" w:rsidRDefault="00A72110" w:rsidP="00A72110">
      <w:pPr>
        <w:pStyle w:val="Tekstpodstawowy3"/>
        <w:jc w:val="both"/>
        <w:rPr>
          <w:b w:val="0"/>
          <w:bCs w:val="0"/>
          <w:i/>
          <w:iCs/>
          <w:snapToGrid w:val="0"/>
          <w:sz w:val="18"/>
          <w:szCs w:val="18"/>
          <w:u w:val="none"/>
        </w:rPr>
      </w:pPr>
      <w:r>
        <w:rPr>
          <w:b w:val="0"/>
          <w:bCs w:val="0"/>
          <w:i/>
          <w:iCs/>
          <w:snapToGrid w:val="0"/>
          <w:sz w:val="18"/>
          <w:szCs w:val="18"/>
          <w:u w:val="none"/>
        </w:rPr>
        <w:t xml:space="preserve">1) Uwzględnienie parametrów wydanych w decyzjach lokalizacyjnych, uzyskanych na przedmiotowym terenie, </w:t>
      </w:r>
      <w:r>
        <w:rPr>
          <w:b w:val="0"/>
          <w:bCs w:val="0"/>
          <w:i/>
          <w:iCs/>
          <w:snapToGrid w:val="0"/>
          <w:sz w:val="18"/>
          <w:szCs w:val="18"/>
          <w:u w:val="none"/>
        </w:rPr>
        <w:br/>
        <w:t>w szczególności decyzji dotyczących:</w:t>
      </w:r>
    </w:p>
    <w:p w:rsidR="00A72110" w:rsidRDefault="00A72110" w:rsidP="00A72110">
      <w:pPr>
        <w:pStyle w:val="Tekstpodstawowy3"/>
        <w:jc w:val="both"/>
        <w:rPr>
          <w:b w:val="0"/>
          <w:bCs w:val="0"/>
          <w:i/>
          <w:iCs/>
          <w:sz w:val="18"/>
          <w:szCs w:val="18"/>
          <w:u w:val="none"/>
        </w:rPr>
      </w:pPr>
      <w:r>
        <w:rPr>
          <w:b w:val="0"/>
          <w:bCs w:val="0"/>
          <w:i/>
          <w:iCs/>
          <w:sz w:val="18"/>
          <w:szCs w:val="18"/>
          <w:u w:val="none"/>
        </w:rPr>
        <w:t>DECYZJE ULICP</w:t>
      </w:r>
    </w:p>
    <w:p w:rsidR="00A72110" w:rsidRDefault="00A72110" w:rsidP="00A72110">
      <w:pPr>
        <w:pStyle w:val="Default"/>
        <w:jc w:val="both"/>
        <w:rPr>
          <w:rFonts w:ascii="Arial" w:hAnsi="Arial" w:cs="Arial"/>
          <w:b/>
          <w:bCs/>
          <w:i/>
          <w:iCs/>
          <w:sz w:val="18"/>
          <w:szCs w:val="18"/>
        </w:rPr>
      </w:pPr>
      <w:r>
        <w:rPr>
          <w:rFonts w:ascii="Arial" w:hAnsi="Arial" w:cs="Arial"/>
          <w:i/>
          <w:iCs/>
          <w:sz w:val="18"/>
          <w:szCs w:val="18"/>
        </w:rPr>
        <w:t>- Decyzja nr AU-2/6733/11/2022 o Ustalenie Lokalizacji Inwestycji Celu Publicznego z dnia 13.01.2022r., dot. zamierzenia inwestycyjnego pn.: ,,</w:t>
      </w:r>
      <w:r>
        <w:rPr>
          <w:rFonts w:ascii="Arial" w:hAnsi="Arial" w:cs="Arial"/>
          <w:b/>
          <w:bCs/>
          <w:i/>
          <w:iCs/>
          <w:sz w:val="18"/>
          <w:szCs w:val="18"/>
        </w:rPr>
        <w:t>Budowa budynku biurowego dla potrzeb ACK Cyfronet AGH</w:t>
      </w:r>
      <w:r>
        <w:rPr>
          <w:rFonts w:ascii="Arial" w:hAnsi="Arial" w:cs="Arial"/>
          <w:i/>
          <w:iCs/>
          <w:sz w:val="18"/>
          <w:szCs w:val="18"/>
        </w:rPr>
        <w:t xml:space="preserve"> wraz z instalacjami wewnętrznymi oraz niezbędną infrastrukturą techniczną (w tym przyłączami do sieci cieplnej, wody, kanalizacji) oraz przebudową i rozbudową sieci kanalizacji ogólnospławnej na działkach nr 863/1, 863/2, 653/37, 653/41 i 771/10 </w:t>
      </w:r>
      <w:proofErr w:type="spellStart"/>
      <w:r>
        <w:rPr>
          <w:rFonts w:ascii="Arial" w:hAnsi="Arial" w:cs="Arial"/>
          <w:i/>
          <w:iCs/>
          <w:sz w:val="18"/>
          <w:szCs w:val="18"/>
        </w:rPr>
        <w:t>obr</w:t>
      </w:r>
      <w:proofErr w:type="spellEnd"/>
      <w:r>
        <w:rPr>
          <w:rFonts w:ascii="Arial" w:hAnsi="Arial" w:cs="Arial"/>
          <w:i/>
          <w:iCs/>
          <w:sz w:val="18"/>
          <w:szCs w:val="18"/>
        </w:rPr>
        <w:t xml:space="preserve">. 4 Krowodrza przy ulicy Nawojki/Kawiory w Krakowie”; </w:t>
      </w:r>
    </w:p>
    <w:p w:rsidR="00A72110" w:rsidRDefault="00A72110" w:rsidP="00A72110">
      <w:pPr>
        <w:pStyle w:val="Tekstpodstawowy3"/>
        <w:jc w:val="both"/>
        <w:rPr>
          <w:b w:val="0"/>
          <w:bCs w:val="0"/>
          <w:i/>
          <w:iCs/>
          <w:snapToGrid w:val="0"/>
          <w:sz w:val="18"/>
          <w:szCs w:val="18"/>
          <w:u w:val="none"/>
        </w:rPr>
      </w:pPr>
      <w:r>
        <w:rPr>
          <w:b w:val="0"/>
          <w:bCs w:val="0"/>
          <w:i/>
          <w:iCs/>
          <w:snapToGrid w:val="0"/>
          <w:sz w:val="18"/>
          <w:szCs w:val="18"/>
          <w:u w:val="none"/>
        </w:rPr>
        <w:t>2) Uwzględnienie w zapisach i parametrach MPZP, następujących planów inwestycyjnych AGH:</w:t>
      </w:r>
    </w:p>
    <w:p w:rsidR="00A72110" w:rsidRDefault="00A72110" w:rsidP="00A72110">
      <w:pPr>
        <w:pStyle w:val="Tekstpodstawowy3"/>
        <w:numPr>
          <w:ilvl w:val="0"/>
          <w:numId w:val="1"/>
        </w:numPr>
        <w:jc w:val="both"/>
        <w:rPr>
          <w:b w:val="0"/>
          <w:bCs w:val="0"/>
          <w:i/>
          <w:iCs/>
          <w:snapToGrid w:val="0"/>
          <w:sz w:val="18"/>
          <w:szCs w:val="18"/>
          <w:u w:val="none"/>
        </w:rPr>
      </w:pPr>
      <w:r>
        <w:rPr>
          <w:b w:val="0"/>
          <w:bCs w:val="0"/>
          <w:i/>
          <w:iCs/>
          <w:snapToGrid w:val="0"/>
          <w:sz w:val="18"/>
          <w:szCs w:val="18"/>
          <w:u w:val="none"/>
        </w:rPr>
        <w:t>Rozbudowa zespołu budynków Cyfronet, rejon ulic Bydgoskiej, Kawiory, Budryka, Nawojki</w:t>
      </w:r>
    </w:p>
    <w:p w:rsidR="00A72110" w:rsidRDefault="00A72110" w:rsidP="00A72110">
      <w:pPr>
        <w:pStyle w:val="Tekstpodstawowy3"/>
        <w:jc w:val="both"/>
        <w:rPr>
          <w:b w:val="0"/>
          <w:bCs w:val="0"/>
          <w:i/>
          <w:iCs/>
          <w:snapToGrid w:val="0"/>
          <w:sz w:val="18"/>
          <w:szCs w:val="18"/>
          <w:u w:val="none"/>
        </w:rPr>
      </w:pPr>
      <w:r>
        <w:rPr>
          <w:b w:val="0"/>
          <w:bCs w:val="0"/>
          <w:i/>
          <w:iCs/>
          <w:snapToGrid w:val="0"/>
          <w:sz w:val="18"/>
          <w:szCs w:val="18"/>
          <w:u w:val="none"/>
        </w:rPr>
        <w:t>5) Odstąpienie od wyznaczania maksymalnej długości elewacji budynku lub ustanowienie definicji długości elewacji w kontekście zespołu budynków, kompleksu budynków, pawilonów czy segmentów budynków.</w:t>
      </w:r>
    </w:p>
    <w:p w:rsidR="00A72110" w:rsidRDefault="00A72110" w:rsidP="00A72110">
      <w:pPr>
        <w:pStyle w:val="Tekstpodstawowy3"/>
        <w:jc w:val="both"/>
        <w:rPr>
          <w:b w:val="0"/>
          <w:bCs w:val="0"/>
          <w:i/>
          <w:iCs/>
          <w:snapToGrid w:val="0"/>
          <w:sz w:val="18"/>
          <w:szCs w:val="18"/>
          <w:u w:val="none"/>
        </w:rPr>
      </w:pPr>
      <w:r>
        <w:rPr>
          <w:b w:val="0"/>
          <w:bCs w:val="0"/>
          <w:i/>
          <w:iCs/>
          <w:snapToGrid w:val="0"/>
          <w:sz w:val="18"/>
          <w:szCs w:val="18"/>
          <w:u w:val="none"/>
        </w:rPr>
        <w:t>6) Odstąpienie od wyznaczania linii zabudowy od strony wewnętrznej kwartałów/kampusu AGH.</w:t>
      </w:r>
    </w:p>
    <w:p w:rsidR="00A72110" w:rsidRDefault="00A72110" w:rsidP="00A72110">
      <w:pPr>
        <w:pStyle w:val="Tekstpodstawowy2"/>
        <w:rPr>
          <w:i/>
          <w:iCs/>
        </w:rPr>
      </w:pPr>
      <w:r>
        <w:rPr>
          <w:i/>
          <w:iCs/>
          <w:snapToGrid w:val="0"/>
        </w:rPr>
        <w:t>8)</w:t>
      </w:r>
      <w:r>
        <w:rPr>
          <w:i/>
          <w:iCs/>
        </w:rPr>
        <w:t xml:space="preserve"> Określenie dopuszczalnej wysokości zabudowy na poziomie co najmniej 40 metrów a dla terenu Miasteczka Studenckiego między ulicami Reymonta, Piastowską, Nawojki i Kawiory – w wysokości 55m</w:t>
      </w:r>
    </w:p>
    <w:p w:rsidR="00A72110" w:rsidRDefault="00A72110" w:rsidP="00A72110">
      <w:pPr>
        <w:pStyle w:val="Tekstpodstawowy2"/>
        <w:rPr>
          <w:i/>
          <w:iCs/>
          <w:snapToGrid w:val="0"/>
        </w:rPr>
      </w:pPr>
      <w:r>
        <w:rPr>
          <w:i/>
          <w:iCs/>
        </w:rPr>
        <w:t>9) Odstąpienie od zapisów włączających do limitu wysokości zabudowy również niewielkie elementy kubaturowe (nadszybia, maszynownie, schodowe wyjścia na dachy), elementy techniczne i wyposażenia znajdujące się na dachach budynków, powyżej poziomów dachów, attyk, kalenic, gzymsów czy okapów, lub wprowadzenie dodatkowego limitu wysokości względnej dla samych przestrzeni technicznych na dachach (ponad zasadniczą kubaturę głównej bryły budynku) lub wprowadzenie definicji dodatkowej przestrzeni technicznej / dopuszczalnej wysokości wyposażenia, w kontekście dopuszczalnej wysokości zabudowy lub uwzględnienie w inwentaryzacji do projektu planu wysokości budynków wraz z istniejącym wyposażeniem i elementami przewyższającymi bryłę i dach budynku właściwego oraz przyjęcie stosownych rezerw wysokości ponad istniejące.</w:t>
      </w:r>
    </w:p>
    <w:p w:rsidR="00A72110" w:rsidRDefault="00A72110" w:rsidP="00A72110">
      <w:pPr>
        <w:pStyle w:val="Tekstpodstawowy3"/>
        <w:jc w:val="both"/>
        <w:rPr>
          <w:b w:val="0"/>
          <w:bCs w:val="0"/>
          <w:i/>
          <w:iCs/>
          <w:snapToGrid w:val="0"/>
          <w:sz w:val="18"/>
          <w:szCs w:val="18"/>
          <w:u w:val="none"/>
        </w:rPr>
      </w:pPr>
      <w:r>
        <w:rPr>
          <w:b w:val="0"/>
          <w:bCs w:val="0"/>
          <w:i/>
          <w:iCs/>
          <w:snapToGrid w:val="0"/>
          <w:sz w:val="18"/>
          <w:szCs w:val="18"/>
          <w:u w:val="none"/>
        </w:rPr>
        <w:t>10)</w:t>
      </w:r>
      <w:r>
        <w:rPr>
          <w:b w:val="0"/>
          <w:bCs w:val="0"/>
          <w:i/>
          <w:iCs/>
          <w:sz w:val="18"/>
          <w:szCs w:val="18"/>
          <w:u w:val="none"/>
        </w:rPr>
        <w:t xml:space="preserve"> Ustalenie wymaganego udziału powierzchni biologicznie czynnej dla terenów usługowych na poziomie maksymalnym 20%.</w:t>
      </w:r>
    </w:p>
    <w:p w:rsidR="00A72110" w:rsidRDefault="00A72110" w:rsidP="00A72110">
      <w:pPr>
        <w:pStyle w:val="Default"/>
        <w:jc w:val="both"/>
        <w:rPr>
          <w:rFonts w:ascii="Arial" w:hAnsi="Arial" w:cs="Arial"/>
          <w:i/>
          <w:iCs/>
          <w:color w:val="auto"/>
          <w:sz w:val="18"/>
          <w:szCs w:val="18"/>
        </w:rPr>
      </w:pPr>
      <w:r>
        <w:rPr>
          <w:rFonts w:ascii="Arial" w:hAnsi="Arial" w:cs="Arial"/>
          <w:i/>
          <w:iCs/>
          <w:snapToGrid w:val="0"/>
          <w:sz w:val="18"/>
          <w:szCs w:val="18"/>
        </w:rPr>
        <w:t>13)</w:t>
      </w:r>
      <w:r>
        <w:rPr>
          <w:rFonts w:ascii="Arial" w:hAnsi="Arial" w:cs="Arial"/>
          <w:i/>
          <w:iCs/>
          <w:color w:val="auto"/>
          <w:sz w:val="18"/>
          <w:szCs w:val="18"/>
        </w:rPr>
        <w:t xml:space="preserve"> Określenie </w:t>
      </w:r>
      <w:r>
        <w:rPr>
          <w:rFonts w:ascii="Arial" w:hAnsi="Arial" w:cs="Arial"/>
          <w:i/>
          <w:iCs/>
          <w:sz w:val="18"/>
          <w:szCs w:val="18"/>
        </w:rPr>
        <w:t xml:space="preserve">(uszczegółowienie) w MPZP obliczeniowej wartości procentowej do ujmowania w bilansach powierzchni biologicznie czynnej organizowanej  na dachach zielonych, tarasach, zadaszeniach, stropach parkingów podziemnych, nawierzchniach z </w:t>
      </w:r>
      <w:proofErr w:type="spellStart"/>
      <w:r>
        <w:rPr>
          <w:rFonts w:ascii="Arial" w:hAnsi="Arial" w:cs="Arial"/>
          <w:i/>
          <w:iCs/>
          <w:sz w:val="18"/>
          <w:szCs w:val="18"/>
        </w:rPr>
        <w:t>geokraty</w:t>
      </w:r>
      <w:proofErr w:type="spellEnd"/>
      <w:r>
        <w:rPr>
          <w:rFonts w:ascii="Arial" w:hAnsi="Arial" w:cs="Arial"/>
          <w:i/>
          <w:iCs/>
          <w:sz w:val="18"/>
          <w:szCs w:val="18"/>
        </w:rPr>
        <w:t>, nawierzchniach z betonu wodoprzepuszczalnego, w ogrodach wertykalnych, kuwetach, oczkach wodnych i innych dopuszczalnych rozwiązaniach</w:t>
      </w:r>
    </w:p>
    <w:p w:rsidR="00A72110" w:rsidRDefault="00A72110" w:rsidP="00A72110">
      <w:pPr>
        <w:pStyle w:val="Tekstpodstawowy3"/>
        <w:jc w:val="both"/>
        <w:rPr>
          <w:b w:val="0"/>
          <w:bCs w:val="0"/>
          <w:i/>
          <w:iCs/>
          <w:sz w:val="18"/>
          <w:szCs w:val="18"/>
          <w:u w:val="none"/>
        </w:rPr>
      </w:pPr>
      <w:r>
        <w:rPr>
          <w:b w:val="0"/>
          <w:bCs w:val="0"/>
          <w:i/>
          <w:iCs/>
          <w:sz w:val="18"/>
          <w:szCs w:val="18"/>
          <w:u w:val="none"/>
        </w:rPr>
        <w:t>14) Ustalenie dla Kampusu AGH wskaźnika intensywności zabudowy nadziemnej na poziomie 4.0 dla całego terenu objętego projektem planu.</w:t>
      </w:r>
    </w:p>
    <w:p w:rsidR="00A72110" w:rsidRDefault="00A72110" w:rsidP="00A72110">
      <w:pPr>
        <w:pStyle w:val="Tekstpodstawowy3"/>
        <w:jc w:val="both"/>
        <w:rPr>
          <w:b w:val="0"/>
          <w:bCs w:val="0"/>
          <w:i/>
          <w:iCs/>
          <w:snapToGrid w:val="0"/>
          <w:sz w:val="18"/>
          <w:szCs w:val="18"/>
          <w:u w:val="none"/>
        </w:rPr>
      </w:pPr>
      <w:r>
        <w:rPr>
          <w:b w:val="0"/>
          <w:bCs w:val="0"/>
          <w:i/>
          <w:iCs/>
          <w:sz w:val="18"/>
          <w:szCs w:val="18"/>
          <w:u w:val="none"/>
        </w:rPr>
        <w:t>15) Umożliwienie przekształceń układu komunikacyjnego i rodzajów nawierzchni kampusu AGH</w:t>
      </w:r>
      <w:r>
        <w:rPr>
          <w:b w:val="0"/>
          <w:bCs w:val="0"/>
          <w:i/>
          <w:iCs/>
          <w:snapToGrid w:val="0"/>
          <w:sz w:val="18"/>
          <w:szCs w:val="18"/>
          <w:u w:val="none"/>
        </w:rPr>
        <w:t>)</w:t>
      </w:r>
    </w:p>
    <w:p w:rsidR="00A72110" w:rsidRDefault="00A72110" w:rsidP="00A72110">
      <w:pPr>
        <w:pStyle w:val="Tekstpodstawowy3"/>
        <w:jc w:val="both"/>
        <w:rPr>
          <w:b w:val="0"/>
          <w:bCs w:val="0"/>
          <w:i/>
          <w:iCs/>
          <w:snapToGrid w:val="0"/>
          <w:sz w:val="18"/>
          <w:szCs w:val="18"/>
          <w:u w:val="none"/>
        </w:rPr>
      </w:pPr>
      <w:r>
        <w:rPr>
          <w:b w:val="0"/>
          <w:bCs w:val="0"/>
          <w:i/>
          <w:iCs/>
          <w:snapToGrid w:val="0"/>
          <w:sz w:val="18"/>
          <w:szCs w:val="18"/>
          <w:u w:val="none"/>
        </w:rPr>
        <w:t>21) Zakwalifikowanie wyznaczanych w Projekcie Planu przewidywanych terenów usługowych jako obszarów zabudowy Śródmiejskiej.</w:t>
      </w:r>
    </w:p>
    <w:p w:rsidR="00A72110" w:rsidRDefault="00A72110" w:rsidP="00A72110">
      <w:pPr>
        <w:pStyle w:val="Tekstpodstawowy3"/>
        <w:jc w:val="both"/>
        <w:rPr>
          <w:b w:val="0"/>
          <w:bCs w:val="0"/>
          <w:i/>
          <w:iCs/>
          <w:snapToGrid w:val="0"/>
          <w:sz w:val="18"/>
          <w:szCs w:val="18"/>
          <w:u w:val="none"/>
        </w:rPr>
      </w:pPr>
      <w:r>
        <w:rPr>
          <w:b w:val="0"/>
          <w:bCs w:val="0"/>
          <w:i/>
          <w:iCs/>
          <w:snapToGrid w:val="0"/>
          <w:sz w:val="18"/>
          <w:szCs w:val="18"/>
          <w:u w:val="none"/>
        </w:rPr>
        <w:t>22) Dopuszczenie lokalizowania budynków w granicach działek i na styku z innymi budynkami.</w:t>
      </w:r>
    </w:p>
    <w:p w:rsidR="00A72110" w:rsidRDefault="00A72110" w:rsidP="00A72110">
      <w:pPr>
        <w:pStyle w:val="Tekstpodstawowy3"/>
        <w:jc w:val="both"/>
        <w:rPr>
          <w:b w:val="0"/>
          <w:bCs w:val="0"/>
          <w:i/>
          <w:iCs/>
          <w:sz w:val="18"/>
          <w:szCs w:val="18"/>
          <w:u w:val="none"/>
        </w:rPr>
      </w:pPr>
    </w:p>
    <w:p w:rsidR="00A72110" w:rsidRDefault="00A72110" w:rsidP="00A72110">
      <w:pPr>
        <w:pStyle w:val="Tekstpodstawowy3"/>
        <w:numPr>
          <w:ilvl w:val="0"/>
          <w:numId w:val="3"/>
        </w:numPr>
        <w:jc w:val="both"/>
        <w:rPr>
          <w:sz w:val="18"/>
          <w:szCs w:val="18"/>
          <w:u w:val="none"/>
        </w:rPr>
      </w:pPr>
      <w:r>
        <w:rPr>
          <w:snapToGrid w:val="0"/>
          <w:sz w:val="18"/>
          <w:szCs w:val="18"/>
          <w:u w:val="none"/>
        </w:rPr>
        <w:t>zapisy wynikające z koncepcji planu miejscowego z dnia 26.08.2024 r.:</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 24. 1. Wyznacza się Tereny usług nauki oznaczone symbolami </w:t>
      </w:r>
      <w:r>
        <w:rPr>
          <w:rFonts w:ascii="Arial" w:hAnsi="Arial" w:cs="Arial"/>
          <w:b/>
          <w:bCs/>
          <w:i/>
          <w:iCs/>
          <w:sz w:val="18"/>
          <w:szCs w:val="18"/>
        </w:rPr>
        <w:t>5UN</w:t>
      </w:r>
      <w:r>
        <w:rPr>
          <w:rFonts w:ascii="Arial" w:hAnsi="Arial" w:cs="Arial"/>
          <w:i/>
          <w:iCs/>
          <w:sz w:val="18"/>
          <w:szCs w:val="18"/>
        </w:rPr>
        <w:t>, (...)</w:t>
      </w:r>
    </w:p>
    <w:p w:rsidR="00A72110" w:rsidRDefault="00A72110" w:rsidP="00A72110">
      <w:pPr>
        <w:pStyle w:val="Default"/>
        <w:jc w:val="both"/>
        <w:rPr>
          <w:rFonts w:ascii="Arial" w:hAnsi="Arial" w:cs="Arial"/>
          <w:i/>
          <w:iCs/>
          <w:sz w:val="18"/>
          <w:szCs w:val="18"/>
        </w:rPr>
      </w:pPr>
      <w:r>
        <w:rPr>
          <w:rFonts w:ascii="Arial" w:hAnsi="Arial" w:cs="Arial"/>
          <w:i/>
          <w:iCs/>
          <w:sz w:val="18"/>
          <w:szCs w:val="18"/>
        </w:rPr>
        <w:t>§ 24. 2. Ustala się klasę przeznaczenia uzupełniającego:</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1) teren usług gastronomii; </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2) teren usług zdrowia i pomocy społecznej; </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3) teren usług sportu i rekreacji; </w:t>
      </w:r>
    </w:p>
    <w:p w:rsidR="00A72110" w:rsidRDefault="00A72110" w:rsidP="00A72110">
      <w:pPr>
        <w:pStyle w:val="Default"/>
        <w:jc w:val="both"/>
        <w:rPr>
          <w:rFonts w:ascii="Arial" w:hAnsi="Arial" w:cs="Arial"/>
          <w:i/>
          <w:iCs/>
          <w:sz w:val="18"/>
          <w:szCs w:val="18"/>
        </w:rPr>
      </w:pPr>
      <w:r>
        <w:rPr>
          <w:rFonts w:ascii="Arial" w:hAnsi="Arial" w:cs="Arial"/>
          <w:i/>
          <w:iCs/>
          <w:sz w:val="18"/>
          <w:szCs w:val="18"/>
        </w:rPr>
        <w:t>4) teren usług kultury i rozrywki;</w:t>
      </w:r>
      <w:r>
        <w:rPr>
          <w:sz w:val="18"/>
          <w:szCs w:val="18"/>
        </w:rPr>
        <w:t xml:space="preserve"> </w:t>
      </w:r>
    </w:p>
    <w:p w:rsidR="00A72110" w:rsidRDefault="00A72110" w:rsidP="00A72110">
      <w:pPr>
        <w:pStyle w:val="Default"/>
        <w:jc w:val="both"/>
        <w:rPr>
          <w:sz w:val="18"/>
          <w:szCs w:val="18"/>
        </w:rPr>
      </w:pPr>
      <w:r>
        <w:rPr>
          <w:rFonts w:ascii="Arial" w:hAnsi="Arial" w:cs="Arial"/>
          <w:i/>
          <w:iCs/>
          <w:sz w:val="18"/>
          <w:szCs w:val="18"/>
        </w:rPr>
        <w:t>§ 24. 3. W zakresie kształtowania zabud120owy i zagospodarowania terenu ustala się:</w:t>
      </w:r>
      <w:r>
        <w:rPr>
          <w:sz w:val="18"/>
          <w:szCs w:val="18"/>
        </w:rPr>
        <w:t xml:space="preserve"> </w:t>
      </w:r>
    </w:p>
    <w:p w:rsidR="00A72110" w:rsidRDefault="00A72110" w:rsidP="00A72110">
      <w:pPr>
        <w:pStyle w:val="Default"/>
        <w:numPr>
          <w:ilvl w:val="0"/>
          <w:numId w:val="6"/>
        </w:numPr>
        <w:jc w:val="both"/>
        <w:rPr>
          <w:rFonts w:ascii="Arial" w:hAnsi="Arial" w:cs="Arial"/>
          <w:i/>
          <w:iCs/>
          <w:sz w:val="18"/>
          <w:szCs w:val="18"/>
        </w:rPr>
      </w:pPr>
      <w:r>
        <w:rPr>
          <w:rFonts w:ascii="Arial" w:hAnsi="Arial" w:cs="Arial"/>
          <w:i/>
          <w:iCs/>
          <w:sz w:val="18"/>
          <w:szCs w:val="18"/>
        </w:rPr>
        <w:t xml:space="preserve">dla terenu </w:t>
      </w:r>
      <w:r>
        <w:rPr>
          <w:rFonts w:ascii="Arial" w:hAnsi="Arial" w:cs="Arial"/>
          <w:b/>
          <w:bCs/>
          <w:i/>
          <w:iCs/>
          <w:sz w:val="18"/>
          <w:szCs w:val="18"/>
        </w:rPr>
        <w:t>5UN</w:t>
      </w:r>
      <w:r>
        <w:rPr>
          <w:rFonts w:ascii="Arial" w:hAnsi="Arial" w:cs="Arial"/>
          <w:i/>
          <w:iCs/>
          <w:sz w:val="18"/>
          <w:szCs w:val="18"/>
        </w:rPr>
        <w:t>:</w:t>
      </w:r>
    </w:p>
    <w:p w:rsidR="00A72110" w:rsidRDefault="00A72110" w:rsidP="00A72110">
      <w:pPr>
        <w:pStyle w:val="Default"/>
        <w:numPr>
          <w:ilvl w:val="0"/>
          <w:numId w:val="8"/>
        </w:numPr>
        <w:jc w:val="both"/>
        <w:rPr>
          <w:rFonts w:ascii="Arial" w:hAnsi="Arial" w:cs="Arial"/>
          <w:b/>
          <w:bCs/>
          <w:i/>
          <w:iCs/>
          <w:sz w:val="18"/>
          <w:szCs w:val="18"/>
        </w:rPr>
      </w:pPr>
      <w:r>
        <w:rPr>
          <w:rFonts w:ascii="Arial" w:hAnsi="Arial" w:cs="Arial"/>
          <w:i/>
          <w:iCs/>
          <w:sz w:val="18"/>
          <w:szCs w:val="18"/>
        </w:rPr>
        <w:t xml:space="preserve">minimalny udział powierzchni biologicznie czynnej – </w:t>
      </w:r>
      <w:r>
        <w:rPr>
          <w:rFonts w:ascii="Arial" w:hAnsi="Arial" w:cs="Arial"/>
          <w:b/>
          <w:bCs/>
          <w:i/>
          <w:iCs/>
          <w:sz w:val="18"/>
          <w:szCs w:val="18"/>
        </w:rPr>
        <w:t>20%,</w:t>
      </w:r>
    </w:p>
    <w:p w:rsidR="00A72110" w:rsidRDefault="00A72110" w:rsidP="00A72110">
      <w:pPr>
        <w:pStyle w:val="Default"/>
        <w:numPr>
          <w:ilvl w:val="0"/>
          <w:numId w:val="8"/>
        </w:numPr>
        <w:jc w:val="both"/>
        <w:rPr>
          <w:rFonts w:ascii="Arial" w:hAnsi="Arial" w:cs="Arial"/>
          <w:i/>
          <w:iCs/>
          <w:sz w:val="18"/>
          <w:szCs w:val="18"/>
        </w:rPr>
      </w:pPr>
      <w:r>
        <w:rPr>
          <w:rFonts w:ascii="Arial" w:hAnsi="Arial" w:cs="Arial"/>
          <w:i/>
          <w:iCs/>
          <w:sz w:val="18"/>
          <w:szCs w:val="18"/>
        </w:rPr>
        <w:t xml:space="preserve">minimalną nadziemną intensywność zabudowy – </w:t>
      </w:r>
      <w:r>
        <w:rPr>
          <w:rFonts w:ascii="Arial" w:hAnsi="Arial" w:cs="Arial"/>
          <w:b/>
          <w:bCs/>
          <w:i/>
          <w:iCs/>
          <w:sz w:val="18"/>
          <w:szCs w:val="18"/>
        </w:rPr>
        <w:t>0,1</w:t>
      </w:r>
      <w:r>
        <w:rPr>
          <w:rFonts w:ascii="Arial" w:hAnsi="Arial" w:cs="Arial"/>
          <w:i/>
          <w:iCs/>
          <w:sz w:val="18"/>
          <w:szCs w:val="18"/>
        </w:rPr>
        <w:t>,</w:t>
      </w:r>
    </w:p>
    <w:p w:rsidR="00A72110" w:rsidRDefault="00A72110" w:rsidP="00A72110">
      <w:pPr>
        <w:pStyle w:val="Default"/>
        <w:numPr>
          <w:ilvl w:val="0"/>
          <w:numId w:val="8"/>
        </w:numPr>
        <w:jc w:val="both"/>
        <w:rPr>
          <w:rFonts w:ascii="Arial" w:hAnsi="Arial" w:cs="Arial"/>
          <w:i/>
          <w:iCs/>
          <w:sz w:val="18"/>
          <w:szCs w:val="18"/>
        </w:rPr>
      </w:pPr>
      <w:r>
        <w:rPr>
          <w:rFonts w:ascii="Arial" w:hAnsi="Arial" w:cs="Arial"/>
          <w:i/>
          <w:iCs/>
          <w:sz w:val="18"/>
          <w:szCs w:val="18"/>
        </w:rPr>
        <w:t xml:space="preserve">maksymalną nadziemna intensywność zabudowy – </w:t>
      </w:r>
      <w:r>
        <w:rPr>
          <w:rFonts w:ascii="Arial" w:hAnsi="Arial" w:cs="Arial"/>
          <w:b/>
          <w:bCs/>
          <w:i/>
          <w:iCs/>
          <w:sz w:val="18"/>
          <w:szCs w:val="18"/>
        </w:rPr>
        <w:t>2,5</w:t>
      </w:r>
      <w:r>
        <w:rPr>
          <w:rFonts w:ascii="Arial" w:hAnsi="Arial" w:cs="Arial"/>
          <w:i/>
          <w:iCs/>
          <w:sz w:val="18"/>
          <w:szCs w:val="18"/>
        </w:rPr>
        <w:t>,</w:t>
      </w:r>
    </w:p>
    <w:p w:rsidR="00A72110" w:rsidRDefault="00A72110" w:rsidP="00A72110">
      <w:pPr>
        <w:pStyle w:val="Default"/>
        <w:numPr>
          <w:ilvl w:val="0"/>
          <w:numId w:val="8"/>
        </w:numPr>
        <w:jc w:val="both"/>
        <w:rPr>
          <w:rFonts w:ascii="Arial" w:hAnsi="Arial" w:cs="Arial"/>
          <w:i/>
          <w:iCs/>
          <w:sz w:val="18"/>
          <w:szCs w:val="18"/>
        </w:rPr>
      </w:pPr>
      <w:r>
        <w:rPr>
          <w:rFonts w:ascii="Arial" w:hAnsi="Arial" w:cs="Arial"/>
          <w:i/>
          <w:iCs/>
          <w:sz w:val="18"/>
          <w:szCs w:val="18"/>
        </w:rPr>
        <w:t xml:space="preserve">maksymalny udział powierzchni zabudowy – </w:t>
      </w:r>
      <w:r>
        <w:rPr>
          <w:rFonts w:ascii="Arial" w:hAnsi="Arial" w:cs="Arial"/>
          <w:b/>
          <w:bCs/>
          <w:i/>
          <w:iCs/>
          <w:sz w:val="18"/>
          <w:szCs w:val="18"/>
        </w:rPr>
        <w:t>70%,</w:t>
      </w:r>
    </w:p>
    <w:p w:rsidR="00A72110" w:rsidRDefault="00A72110" w:rsidP="00A72110">
      <w:pPr>
        <w:pStyle w:val="Default"/>
        <w:numPr>
          <w:ilvl w:val="0"/>
          <w:numId w:val="8"/>
        </w:numPr>
        <w:jc w:val="both"/>
        <w:rPr>
          <w:rFonts w:ascii="Arial" w:hAnsi="Arial" w:cs="Arial"/>
          <w:i/>
          <w:iCs/>
          <w:sz w:val="18"/>
          <w:szCs w:val="18"/>
        </w:rPr>
      </w:pPr>
      <w:r>
        <w:rPr>
          <w:rFonts w:ascii="Arial" w:hAnsi="Arial" w:cs="Arial"/>
          <w:i/>
          <w:iCs/>
          <w:sz w:val="18"/>
          <w:szCs w:val="18"/>
        </w:rPr>
        <w:t xml:space="preserve">maksymalna wysokość zabudowy – </w:t>
      </w:r>
      <w:r>
        <w:rPr>
          <w:rFonts w:ascii="Arial" w:hAnsi="Arial" w:cs="Arial"/>
          <w:b/>
          <w:bCs/>
          <w:i/>
          <w:iCs/>
          <w:sz w:val="18"/>
          <w:szCs w:val="18"/>
        </w:rPr>
        <w:t>18 m</w:t>
      </w:r>
      <w:r>
        <w:rPr>
          <w:rFonts w:ascii="Arial" w:hAnsi="Arial" w:cs="Arial"/>
          <w:i/>
          <w:iCs/>
          <w:sz w:val="18"/>
          <w:szCs w:val="18"/>
        </w:rPr>
        <w:t>,</w:t>
      </w:r>
    </w:p>
    <w:p w:rsidR="00A72110" w:rsidRDefault="00A72110" w:rsidP="00A72110">
      <w:pPr>
        <w:pStyle w:val="Default"/>
        <w:numPr>
          <w:ilvl w:val="0"/>
          <w:numId w:val="8"/>
        </w:numPr>
        <w:jc w:val="both"/>
        <w:rPr>
          <w:rFonts w:ascii="Arial" w:hAnsi="Arial" w:cs="Arial"/>
          <w:i/>
          <w:iCs/>
          <w:sz w:val="18"/>
          <w:szCs w:val="18"/>
        </w:rPr>
      </w:pPr>
      <w:r>
        <w:rPr>
          <w:rFonts w:ascii="Arial" w:hAnsi="Arial" w:cs="Arial"/>
          <w:i/>
          <w:iCs/>
          <w:sz w:val="18"/>
          <w:szCs w:val="18"/>
        </w:rPr>
        <w:t xml:space="preserve">maksymalną wysokość obiektu budowlanego – </w:t>
      </w:r>
      <w:r>
        <w:rPr>
          <w:rFonts w:ascii="Arial" w:hAnsi="Arial" w:cs="Arial"/>
          <w:b/>
          <w:bCs/>
          <w:i/>
          <w:iCs/>
          <w:sz w:val="18"/>
          <w:szCs w:val="18"/>
        </w:rPr>
        <w:t>20 m</w:t>
      </w:r>
      <w:r>
        <w:rPr>
          <w:rFonts w:ascii="Arial" w:hAnsi="Arial" w:cs="Arial"/>
          <w:i/>
          <w:iCs/>
          <w:sz w:val="18"/>
          <w:szCs w:val="18"/>
        </w:rPr>
        <w:t>,</w:t>
      </w:r>
    </w:p>
    <w:p w:rsidR="00A72110" w:rsidRDefault="00A72110" w:rsidP="00A72110">
      <w:pPr>
        <w:pStyle w:val="Default"/>
        <w:ind w:left="360"/>
        <w:jc w:val="both"/>
        <w:rPr>
          <w:rFonts w:ascii="Arial" w:hAnsi="Arial" w:cs="Arial"/>
          <w:i/>
          <w:iCs/>
          <w:sz w:val="18"/>
          <w:szCs w:val="18"/>
        </w:rPr>
      </w:pPr>
    </w:p>
    <w:p w:rsidR="00A72110" w:rsidRDefault="00A72110" w:rsidP="00A72110">
      <w:pPr>
        <w:pStyle w:val="Tekstpodstawowy3"/>
        <w:numPr>
          <w:ilvl w:val="0"/>
          <w:numId w:val="3"/>
        </w:numPr>
        <w:jc w:val="both"/>
        <w:rPr>
          <w:sz w:val="18"/>
          <w:szCs w:val="18"/>
          <w:u w:val="none"/>
        </w:rPr>
      </w:pPr>
      <w:r>
        <w:rPr>
          <w:snapToGrid w:val="0"/>
          <w:sz w:val="18"/>
          <w:szCs w:val="18"/>
          <w:u w:val="none"/>
        </w:rPr>
        <w:t>niezgodności inwestycji z koncepcją planu miejscowego:</w:t>
      </w:r>
    </w:p>
    <w:p w:rsidR="00A72110" w:rsidRDefault="00A72110" w:rsidP="00A72110">
      <w:pPr>
        <w:pStyle w:val="Tekstpodstawowy3"/>
        <w:numPr>
          <w:ilvl w:val="0"/>
          <w:numId w:val="1"/>
        </w:numPr>
        <w:jc w:val="both"/>
        <w:rPr>
          <w:b w:val="0"/>
          <w:bCs w:val="0"/>
          <w:snapToGrid w:val="0"/>
          <w:sz w:val="18"/>
          <w:szCs w:val="18"/>
          <w:u w:val="none"/>
        </w:rPr>
      </w:pPr>
      <w:r>
        <w:rPr>
          <w:b w:val="0"/>
          <w:bCs w:val="0"/>
          <w:snapToGrid w:val="0"/>
          <w:sz w:val="18"/>
          <w:szCs w:val="18"/>
          <w:u w:val="none"/>
        </w:rPr>
        <w:t>inwestycja przekracza nieprzekraczalna linię zabudowy</w:t>
      </w:r>
    </w:p>
    <w:p w:rsidR="00A72110" w:rsidRDefault="00A72110" w:rsidP="00A72110">
      <w:pPr>
        <w:pStyle w:val="Tekstpodstawowy3"/>
        <w:numPr>
          <w:ilvl w:val="0"/>
          <w:numId w:val="1"/>
        </w:numPr>
        <w:jc w:val="both"/>
        <w:rPr>
          <w:b w:val="0"/>
          <w:bCs w:val="0"/>
          <w:sz w:val="18"/>
          <w:szCs w:val="18"/>
          <w:u w:val="none"/>
        </w:rPr>
      </w:pPr>
      <w:r>
        <w:rPr>
          <w:b w:val="0"/>
          <w:bCs w:val="0"/>
          <w:snapToGrid w:val="0"/>
          <w:sz w:val="18"/>
          <w:szCs w:val="18"/>
          <w:u w:val="none"/>
        </w:rPr>
        <w:t>zbyt mały wskaźnik intensywności zabudowy na danym terenie dla projektowanej inwestycji</w:t>
      </w:r>
    </w:p>
    <w:p w:rsidR="00A72110" w:rsidRDefault="00A72110" w:rsidP="00A72110">
      <w:pPr>
        <w:pStyle w:val="Tekstpodstawowy3"/>
        <w:jc w:val="both"/>
        <w:rPr>
          <w:b w:val="0"/>
          <w:bCs w:val="0"/>
          <w:sz w:val="18"/>
          <w:szCs w:val="18"/>
          <w:u w:val="none"/>
        </w:rPr>
      </w:pPr>
    </w:p>
    <w:p w:rsidR="00A72110" w:rsidRDefault="00A72110" w:rsidP="00A72110">
      <w:pPr>
        <w:pStyle w:val="Tekstpodstawowy3"/>
        <w:numPr>
          <w:ilvl w:val="0"/>
          <w:numId w:val="3"/>
        </w:numPr>
        <w:jc w:val="both"/>
        <w:rPr>
          <w:sz w:val="18"/>
          <w:szCs w:val="18"/>
          <w:u w:val="none"/>
        </w:rPr>
      </w:pPr>
      <w:r>
        <w:rPr>
          <w:sz w:val="18"/>
          <w:szCs w:val="18"/>
          <w:u w:val="none"/>
        </w:rPr>
        <w:t>wnoszone uwagi:</w:t>
      </w:r>
    </w:p>
    <w:p w:rsidR="00A72110" w:rsidRDefault="00A72110" w:rsidP="00A72110">
      <w:pPr>
        <w:pStyle w:val="Tekstpodstawowy3"/>
        <w:numPr>
          <w:ilvl w:val="0"/>
          <w:numId w:val="1"/>
        </w:numPr>
        <w:jc w:val="both"/>
        <w:rPr>
          <w:b w:val="0"/>
          <w:bCs w:val="0"/>
          <w:sz w:val="18"/>
          <w:szCs w:val="18"/>
          <w:u w:val="none"/>
        </w:rPr>
      </w:pPr>
      <w:r>
        <w:rPr>
          <w:b w:val="0"/>
          <w:bCs w:val="0"/>
          <w:sz w:val="18"/>
          <w:szCs w:val="18"/>
          <w:u w:val="none"/>
        </w:rPr>
        <w:lastRenderedPageBreak/>
        <w:t>uwzględnienie wydanego pozwolenia na budowę nr 313/6740.2/2024-09-23</w:t>
      </w:r>
    </w:p>
    <w:p w:rsidR="00A72110" w:rsidRDefault="00A72110" w:rsidP="00A72110">
      <w:pPr>
        <w:pStyle w:val="Tekstpodstawowy3"/>
        <w:numPr>
          <w:ilvl w:val="0"/>
          <w:numId w:val="1"/>
        </w:numPr>
        <w:jc w:val="both"/>
        <w:rPr>
          <w:b w:val="0"/>
          <w:bCs w:val="0"/>
          <w:sz w:val="18"/>
          <w:szCs w:val="18"/>
          <w:u w:val="none"/>
        </w:rPr>
      </w:pPr>
      <w:r>
        <w:rPr>
          <w:b w:val="0"/>
          <w:bCs w:val="0"/>
          <w:sz w:val="18"/>
          <w:szCs w:val="18"/>
          <w:u w:val="none"/>
        </w:rPr>
        <w:t>przesunięcie nieprzekraczalnej linii zabudowy od strony wschodniej</w:t>
      </w:r>
    </w:p>
    <w:p w:rsidR="00A72110" w:rsidRDefault="00A72110" w:rsidP="00A72110">
      <w:pPr>
        <w:pStyle w:val="Tekstpodstawowy3"/>
        <w:numPr>
          <w:ilvl w:val="0"/>
          <w:numId w:val="1"/>
        </w:numPr>
        <w:jc w:val="both"/>
        <w:rPr>
          <w:b w:val="0"/>
          <w:bCs w:val="0"/>
          <w:sz w:val="18"/>
          <w:szCs w:val="18"/>
          <w:u w:val="none"/>
        </w:rPr>
      </w:pPr>
      <w:r>
        <w:rPr>
          <w:b w:val="0"/>
          <w:bCs w:val="0"/>
          <w:sz w:val="18"/>
          <w:szCs w:val="18"/>
          <w:u w:val="none"/>
        </w:rPr>
        <w:t>zwiększenie wskaźnika intensywności zabudowy</w:t>
      </w:r>
    </w:p>
    <w:p w:rsidR="00A72110" w:rsidRDefault="00A72110" w:rsidP="00A72110">
      <w:pPr>
        <w:pStyle w:val="Tekstpodstawowy3"/>
        <w:jc w:val="both"/>
        <w:rPr>
          <w:sz w:val="18"/>
          <w:szCs w:val="18"/>
        </w:rPr>
      </w:pPr>
    </w:p>
    <w:p w:rsidR="00A72110" w:rsidRDefault="00A72110" w:rsidP="00A72110">
      <w:pPr>
        <w:pStyle w:val="Tekstpodstawowy3"/>
        <w:jc w:val="both"/>
        <w:rPr>
          <w:sz w:val="18"/>
          <w:szCs w:val="18"/>
        </w:rPr>
      </w:pPr>
    </w:p>
    <w:p w:rsidR="00A72110" w:rsidRDefault="00A72110" w:rsidP="00A72110">
      <w:pPr>
        <w:pStyle w:val="Tekstpodstawowy3"/>
        <w:jc w:val="center"/>
        <w:rPr>
          <w:color w:val="008080"/>
          <w:u w:val="none"/>
        </w:rPr>
      </w:pPr>
      <w:r>
        <w:rPr>
          <w:color w:val="008080"/>
          <w:u w:val="none"/>
        </w:rPr>
        <w:br w:type="page"/>
      </w:r>
      <w:r>
        <w:rPr>
          <w:color w:val="008080"/>
          <w:u w:val="none"/>
        </w:rPr>
        <w:lastRenderedPageBreak/>
        <w:t>32. Rozbudowa budynku S-1 o zachodnie i wschodnie skrzydło</w:t>
      </w:r>
      <w:r>
        <w:rPr>
          <w:b w:val="0"/>
          <w:bCs w:val="0"/>
          <w:color w:val="008080"/>
          <w:u w:val="none"/>
        </w:rPr>
        <w:t xml:space="preserve"> </w:t>
      </w:r>
      <w:r>
        <w:rPr>
          <w:b w:val="0"/>
          <w:bCs w:val="0"/>
          <w:color w:val="008080"/>
          <w:u w:val="none"/>
        </w:rPr>
        <w:br/>
        <w:t>(decyzja nr 254/6740.2/2018 + decyzja zamienna 533/6740.2/2021)</w:t>
      </w:r>
      <w:r>
        <w:rPr>
          <w:color w:val="008080"/>
          <w:u w:val="none"/>
        </w:rPr>
        <w:t>:</w:t>
      </w:r>
    </w:p>
    <w:p w:rsidR="00A72110" w:rsidRDefault="00A72110" w:rsidP="00A72110">
      <w:pPr>
        <w:pStyle w:val="Tekstpodstawowy3"/>
        <w:jc w:val="both"/>
        <w:rPr>
          <w:sz w:val="18"/>
          <w:szCs w:val="18"/>
          <w:u w:val="none"/>
        </w:rPr>
      </w:pPr>
    </w:p>
    <w:p w:rsidR="00A72110" w:rsidRDefault="00A72110" w:rsidP="00A72110">
      <w:pPr>
        <w:pStyle w:val="Tekstpodstawowy3"/>
        <w:numPr>
          <w:ilvl w:val="0"/>
          <w:numId w:val="4"/>
        </w:numPr>
        <w:jc w:val="both"/>
        <w:rPr>
          <w:sz w:val="18"/>
          <w:szCs w:val="18"/>
          <w:u w:val="none"/>
        </w:rPr>
      </w:pPr>
      <w:r>
        <w:rPr>
          <w:sz w:val="18"/>
          <w:szCs w:val="18"/>
          <w:u w:val="none"/>
        </w:rPr>
        <w:t xml:space="preserve">położenie: </w:t>
      </w:r>
      <w:r>
        <w:rPr>
          <w:b w:val="0"/>
          <w:bCs w:val="0"/>
          <w:sz w:val="18"/>
          <w:szCs w:val="18"/>
          <w:u w:val="none"/>
        </w:rPr>
        <w:t>obszar planistyczny 11UN, 6ZP</w:t>
      </w:r>
    </w:p>
    <w:p w:rsidR="00A72110" w:rsidRDefault="00A72110" w:rsidP="00A72110">
      <w:pPr>
        <w:pStyle w:val="Tekstpodstawowy3"/>
        <w:jc w:val="both"/>
        <w:rPr>
          <w:sz w:val="18"/>
          <w:szCs w:val="18"/>
          <w:u w:val="none"/>
        </w:rPr>
      </w:pPr>
    </w:p>
    <w:p w:rsidR="00A72110" w:rsidRDefault="00A72110" w:rsidP="00A72110">
      <w:pPr>
        <w:pStyle w:val="Tekstpodstawowy3"/>
        <w:numPr>
          <w:ilvl w:val="0"/>
          <w:numId w:val="4"/>
        </w:numPr>
        <w:jc w:val="both"/>
        <w:rPr>
          <w:sz w:val="18"/>
          <w:szCs w:val="18"/>
          <w:u w:val="none"/>
        </w:rPr>
      </w:pPr>
      <w:r>
        <w:rPr>
          <w:sz w:val="18"/>
          <w:szCs w:val="18"/>
          <w:u w:val="none"/>
        </w:rPr>
        <w:t>opis inwestycji:</w:t>
      </w:r>
    </w:p>
    <w:p w:rsidR="00A72110" w:rsidRDefault="00A72110" w:rsidP="00A72110">
      <w:pPr>
        <w:pStyle w:val="Tekstpodstawowy3"/>
        <w:numPr>
          <w:ilvl w:val="0"/>
          <w:numId w:val="1"/>
        </w:numPr>
        <w:jc w:val="both"/>
        <w:rPr>
          <w:b w:val="0"/>
          <w:bCs w:val="0"/>
          <w:sz w:val="18"/>
          <w:szCs w:val="18"/>
          <w:u w:val="none"/>
        </w:rPr>
      </w:pPr>
      <w:r>
        <w:rPr>
          <w:b w:val="0"/>
          <w:bCs w:val="0"/>
          <w:sz w:val="18"/>
          <w:szCs w:val="18"/>
          <w:u w:val="none"/>
        </w:rPr>
        <w:t>budynek sześciokondygnacyjny</w:t>
      </w:r>
    </w:p>
    <w:p w:rsidR="00A72110" w:rsidRDefault="00A72110" w:rsidP="00A72110">
      <w:pPr>
        <w:pStyle w:val="Tekstpodstawowy3"/>
        <w:numPr>
          <w:ilvl w:val="0"/>
          <w:numId w:val="1"/>
        </w:numPr>
        <w:jc w:val="both"/>
        <w:rPr>
          <w:b w:val="0"/>
          <w:bCs w:val="0"/>
          <w:sz w:val="18"/>
          <w:szCs w:val="18"/>
          <w:u w:val="none"/>
        </w:rPr>
      </w:pPr>
      <w:r>
        <w:rPr>
          <w:b w:val="0"/>
          <w:bCs w:val="0"/>
          <w:sz w:val="18"/>
          <w:szCs w:val="18"/>
          <w:u w:val="none"/>
        </w:rPr>
        <w:t>geometria dachu – dach płaski</w:t>
      </w:r>
    </w:p>
    <w:p w:rsidR="00A72110" w:rsidRDefault="00A72110" w:rsidP="00A72110">
      <w:pPr>
        <w:pStyle w:val="Tekstpodstawowy3"/>
        <w:numPr>
          <w:ilvl w:val="0"/>
          <w:numId w:val="1"/>
        </w:numPr>
        <w:jc w:val="both"/>
        <w:rPr>
          <w:b w:val="0"/>
          <w:bCs w:val="0"/>
          <w:sz w:val="18"/>
          <w:szCs w:val="18"/>
          <w:u w:val="none"/>
        </w:rPr>
      </w:pPr>
      <w:r>
        <w:rPr>
          <w:b w:val="0"/>
          <w:bCs w:val="0"/>
          <w:sz w:val="18"/>
          <w:szCs w:val="18"/>
          <w:u w:val="none"/>
        </w:rPr>
        <w:t>wysokość zabudowy ok. 19,40 m</w:t>
      </w:r>
    </w:p>
    <w:p w:rsidR="00A72110" w:rsidRDefault="00A72110" w:rsidP="00A72110">
      <w:pPr>
        <w:pStyle w:val="Tekstpodstawowy3"/>
        <w:numPr>
          <w:ilvl w:val="0"/>
          <w:numId w:val="1"/>
        </w:numPr>
        <w:jc w:val="both"/>
        <w:rPr>
          <w:b w:val="0"/>
          <w:bCs w:val="0"/>
          <w:sz w:val="18"/>
          <w:szCs w:val="18"/>
          <w:u w:val="none"/>
        </w:rPr>
      </w:pPr>
      <w:r>
        <w:rPr>
          <w:b w:val="0"/>
          <w:bCs w:val="0"/>
          <w:sz w:val="18"/>
          <w:szCs w:val="18"/>
          <w:u w:val="none"/>
        </w:rPr>
        <w:t>budynek kultury, nauki i oświaty</w:t>
      </w:r>
    </w:p>
    <w:p w:rsidR="00A72110" w:rsidRDefault="00A72110" w:rsidP="00A72110">
      <w:pPr>
        <w:pStyle w:val="Tekstpodstawowy3"/>
        <w:jc w:val="both"/>
        <w:rPr>
          <w:b w:val="0"/>
          <w:bCs w:val="0"/>
          <w:sz w:val="18"/>
          <w:szCs w:val="18"/>
          <w:u w:val="none"/>
        </w:rPr>
      </w:pPr>
    </w:p>
    <w:p w:rsidR="00A72110" w:rsidRDefault="00A72110" w:rsidP="00A72110">
      <w:pPr>
        <w:pStyle w:val="Tekstpodstawowy3"/>
        <w:numPr>
          <w:ilvl w:val="0"/>
          <w:numId w:val="4"/>
        </w:numPr>
        <w:jc w:val="both"/>
        <w:rPr>
          <w:sz w:val="18"/>
          <w:szCs w:val="18"/>
          <w:u w:val="none"/>
        </w:rPr>
      </w:pPr>
      <w:r>
        <w:rPr>
          <w:snapToGrid w:val="0"/>
          <w:sz w:val="18"/>
          <w:szCs w:val="18"/>
          <w:u w:val="none"/>
        </w:rPr>
        <w:t>wnioski złożone do planu miejscowego pismem z dnia 16.11.2023 r.:</w:t>
      </w:r>
    </w:p>
    <w:p w:rsidR="00A72110" w:rsidRDefault="00A72110" w:rsidP="00A72110">
      <w:pPr>
        <w:pStyle w:val="Tekstpodstawowy3"/>
        <w:jc w:val="both"/>
        <w:rPr>
          <w:b w:val="0"/>
          <w:bCs w:val="0"/>
          <w:i/>
          <w:iCs/>
          <w:snapToGrid w:val="0"/>
          <w:sz w:val="18"/>
          <w:szCs w:val="18"/>
          <w:u w:val="none"/>
        </w:rPr>
      </w:pPr>
      <w:r>
        <w:rPr>
          <w:b w:val="0"/>
          <w:bCs w:val="0"/>
          <w:i/>
          <w:iCs/>
          <w:snapToGrid w:val="0"/>
          <w:sz w:val="18"/>
          <w:szCs w:val="18"/>
          <w:u w:val="none"/>
        </w:rPr>
        <w:t xml:space="preserve">1) Uwzględnienie parametrów wydanych w decyzjach lokalizacyjnych, uzyskanych na przedmiotowym terenie, </w:t>
      </w:r>
      <w:r>
        <w:rPr>
          <w:b w:val="0"/>
          <w:bCs w:val="0"/>
          <w:i/>
          <w:iCs/>
          <w:snapToGrid w:val="0"/>
          <w:sz w:val="18"/>
          <w:szCs w:val="18"/>
          <w:u w:val="none"/>
        </w:rPr>
        <w:br/>
        <w:t>w szczególności decyzji dotyczących:</w:t>
      </w:r>
    </w:p>
    <w:p w:rsidR="00A72110" w:rsidRDefault="00A72110" w:rsidP="00A72110">
      <w:pPr>
        <w:pStyle w:val="Tekstpodstawowy3"/>
        <w:jc w:val="both"/>
        <w:rPr>
          <w:b w:val="0"/>
          <w:bCs w:val="0"/>
          <w:i/>
          <w:iCs/>
          <w:sz w:val="18"/>
          <w:szCs w:val="18"/>
          <w:u w:val="none"/>
        </w:rPr>
      </w:pPr>
      <w:r>
        <w:rPr>
          <w:b w:val="0"/>
          <w:bCs w:val="0"/>
          <w:i/>
          <w:iCs/>
          <w:sz w:val="18"/>
          <w:szCs w:val="18"/>
          <w:u w:val="none"/>
        </w:rPr>
        <w:t>DECYZJE ULICP</w:t>
      </w:r>
    </w:p>
    <w:p w:rsidR="00A72110" w:rsidRDefault="00A72110" w:rsidP="00A72110">
      <w:pPr>
        <w:pStyle w:val="Tekstpodstawowy3"/>
        <w:jc w:val="both"/>
        <w:rPr>
          <w:b w:val="0"/>
          <w:bCs w:val="0"/>
          <w:i/>
          <w:iCs/>
          <w:sz w:val="18"/>
          <w:szCs w:val="18"/>
          <w:u w:val="none"/>
        </w:rPr>
      </w:pPr>
      <w:r>
        <w:rPr>
          <w:b w:val="0"/>
          <w:bCs w:val="0"/>
          <w:i/>
          <w:iCs/>
          <w:sz w:val="18"/>
          <w:szCs w:val="18"/>
          <w:u w:val="none"/>
        </w:rPr>
        <w:t xml:space="preserve">- Decyzja nr 533/6740.2/2021 z dnia 29.09.2021 r. (zamienna decyzja pozwolenia na budowę nr 254/6740.2/2018 </w:t>
      </w:r>
      <w:r>
        <w:rPr>
          <w:b w:val="0"/>
          <w:bCs w:val="0"/>
          <w:i/>
          <w:iCs/>
          <w:sz w:val="18"/>
          <w:szCs w:val="18"/>
          <w:u w:val="none"/>
        </w:rPr>
        <w:br/>
        <w:t>z dnia 06.03.2018r.), dot. zamierzenia inwestycyjnego pn.: ,,</w:t>
      </w:r>
      <w:r>
        <w:rPr>
          <w:i/>
          <w:iCs/>
          <w:sz w:val="18"/>
          <w:szCs w:val="18"/>
          <w:u w:val="none"/>
        </w:rPr>
        <w:t>Rozbudowa i nadbudowa budynku S-1</w:t>
      </w:r>
      <w:r>
        <w:rPr>
          <w:b w:val="0"/>
          <w:bCs w:val="0"/>
          <w:i/>
          <w:iCs/>
          <w:sz w:val="18"/>
          <w:szCs w:val="18"/>
          <w:u w:val="none"/>
        </w:rPr>
        <w:t xml:space="preserve"> wraz z infrastrukturą wewnętrzną obejmująca instalacje: elektryczną, sanitarną (wentylacja mechaniczna, klimatyzacja, instalacje grzewcze, instalacje widne, instalacje kanalizacji opadowej, sanitarnej i technicznej), gazów technicznych </w:t>
      </w:r>
      <w:r>
        <w:rPr>
          <w:b w:val="0"/>
          <w:bCs w:val="0"/>
          <w:i/>
          <w:iCs/>
          <w:sz w:val="18"/>
          <w:szCs w:val="18"/>
          <w:u w:val="none"/>
        </w:rPr>
        <w:br/>
        <w:t xml:space="preserve">i zewnętrzna obejmująca kanalizacji kablowej elektrycznej </w:t>
      </w:r>
      <w:proofErr w:type="spellStart"/>
      <w:r>
        <w:rPr>
          <w:b w:val="0"/>
          <w:bCs w:val="0"/>
          <w:i/>
          <w:iCs/>
          <w:sz w:val="18"/>
          <w:szCs w:val="18"/>
          <w:u w:val="none"/>
        </w:rPr>
        <w:t>sN</w:t>
      </w:r>
      <w:proofErr w:type="spellEnd"/>
      <w:r>
        <w:rPr>
          <w:b w:val="0"/>
          <w:bCs w:val="0"/>
          <w:i/>
          <w:iCs/>
          <w:sz w:val="18"/>
          <w:szCs w:val="18"/>
          <w:u w:val="none"/>
        </w:rPr>
        <w:t xml:space="preserve"> i nN, kanalizacji kablowej technicznej, wodociągowej, kanalizacji opadowej z retencją, sanitarnej i ogólnospławnej, gazowej i pomp ciepła oraz przebudową sieci ciepłowniczej i przyłącza gazu kolidujących z inwestycją ul. Wł. </w:t>
      </w:r>
      <w:proofErr w:type="spellStart"/>
      <w:r>
        <w:rPr>
          <w:b w:val="0"/>
          <w:bCs w:val="0"/>
          <w:i/>
          <w:iCs/>
          <w:sz w:val="18"/>
          <w:szCs w:val="18"/>
          <w:u w:val="none"/>
        </w:rPr>
        <w:t>Reymionta</w:t>
      </w:r>
      <w:proofErr w:type="spellEnd"/>
      <w:r>
        <w:rPr>
          <w:b w:val="0"/>
          <w:bCs w:val="0"/>
          <w:i/>
          <w:iCs/>
          <w:sz w:val="18"/>
          <w:szCs w:val="18"/>
          <w:u w:val="none"/>
        </w:rPr>
        <w:t xml:space="preserve"> na dz. nr 19/47 obr.12 j. </w:t>
      </w:r>
      <w:proofErr w:type="spellStart"/>
      <w:r>
        <w:rPr>
          <w:b w:val="0"/>
          <w:bCs w:val="0"/>
          <w:i/>
          <w:iCs/>
          <w:sz w:val="18"/>
          <w:szCs w:val="18"/>
          <w:u w:val="none"/>
        </w:rPr>
        <w:t>ewid</w:t>
      </w:r>
      <w:proofErr w:type="spellEnd"/>
      <w:r>
        <w:rPr>
          <w:b w:val="0"/>
          <w:bCs w:val="0"/>
          <w:i/>
          <w:iCs/>
          <w:sz w:val="18"/>
          <w:szCs w:val="18"/>
          <w:u w:val="none"/>
        </w:rPr>
        <w:t>. Krowodrza”;</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8) Określenie dopuszczalnej wysokości zabudowy na poziomie co najmniej 40 metrów a dla terenu Miasteczka Studenckiego pomiędzy ulicami Reymonta, Piastowską, Nawojki i Kawiory - wysokości 55 metrów. </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9) Odstąpienie od zapisów włączających do limitu wysokości zabudowy również niewielkie elementy kubaturowe (nadszybia, maszynownie, schodowe wyjścia na dachy), elementy techniczne i wyposażenia znajdujące się </w:t>
      </w:r>
      <w:r>
        <w:rPr>
          <w:rFonts w:ascii="Arial" w:hAnsi="Arial" w:cs="Arial"/>
          <w:i/>
          <w:iCs/>
          <w:sz w:val="18"/>
          <w:szCs w:val="18"/>
        </w:rPr>
        <w:br/>
        <w:t xml:space="preserve">na dachach budynków, powyżej poziomów dachów, attyk, kalenic, gzymsów czy okapów, lub wprowadzenie dodatkowego limitu wysokości względnej dla samych przestrzeni technicznych na dachach ( ponad zasadniczą kubaturę głównej bryły budynku ) lub </w:t>
      </w:r>
      <w:r>
        <w:rPr>
          <w:rFonts w:ascii="Arial" w:hAnsi="Arial" w:cs="Arial"/>
          <w:i/>
          <w:iCs/>
          <w:color w:val="auto"/>
          <w:sz w:val="18"/>
          <w:szCs w:val="18"/>
        </w:rPr>
        <w:t xml:space="preserve">wprowadzenie definicji dodatkowej przestrzeni technicznej / dopuszczalnej wysokości wyposażenia, w kontekście dopuszczalnej wysokości zabudowy lub uwzględnienie w inwentaryzacji </w:t>
      </w:r>
      <w:r>
        <w:rPr>
          <w:rFonts w:ascii="Arial" w:hAnsi="Arial" w:cs="Arial"/>
          <w:i/>
          <w:iCs/>
          <w:color w:val="auto"/>
          <w:sz w:val="18"/>
          <w:szCs w:val="18"/>
        </w:rPr>
        <w:br/>
        <w:t xml:space="preserve">do projektu planu wysokości budynków wraz z istniejącym wyposażeniem i elementami przewyższającymi bryłę </w:t>
      </w:r>
      <w:r>
        <w:rPr>
          <w:rFonts w:ascii="Arial" w:hAnsi="Arial" w:cs="Arial"/>
          <w:i/>
          <w:iCs/>
          <w:color w:val="auto"/>
          <w:sz w:val="18"/>
          <w:szCs w:val="18"/>
        </w:rPr>
        <w:br/>
        <w:t xml:space="preserve">i dach budynku właściwego oraz przyjęcie stosownych rezerw wysokości ponad istniejące. </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10) Ustalenie wymaganego udziału powierzchni biologicznie czynnej dla terenów usługowych na poziomie maksymalnym 20%. </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11) Odstąpienie lub maksymalne ograniczenie wyznaczania terenów zieleni urządzonej na terenie kampusu, </w:t>
      </w:r>
      <w:r>
        <w:rPr>
          <w:rFonts w:ascii="Arial" w:hAnsi="Arial" w:cs="Arial"/>
          <w:i/>
          <w:iCs/>
          <w:sz w:val="18"/>
          <w:szCs w:val="18"/>
        </w:rPr>
        <w:br/>
        <w:t xml:space="preserve">na rzecz zieleni towarzyszącej zabudowie. </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12) W przypadku konieczności ustanowienia terenów zieleni urządzonej, zastosowanie wskaźnika powierzchni biologicznie czynnej dla terenów zieleni urządzonej na maksymalnym poziomie 60%,porównywalnym z pobliskimi planami miejscowymi. </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13) Określenie (uszczegółowienie) w MPZP obliczeniowej wartości procentowej do ujmowania w bilansach powierzchni biologicznie czynnej organizowanej na dachach zielonych, tarasach, zadaszeniach, stropach parkingów podziemnych, nawierzchniach z </w:t>
      </w:r>
      <w:proofErr w:type="spellStart"/>
      <w:r>
        <w:rPr>
          <w:rFonts w:ascii="Arial" w:hAnsi="Arial" w:cs="Arial"/>
          <w:i/>
          <w:iCs/>
          <w:sz w:val="18"/>
          <w:szCs w:val="18"/>
        </w:rPr>
        <w:t>geokraty</w:t>
      </w:r>
      <w:proofErr w:type="spellEnd"/>
      <w:r>
        <w:rPr>
          <w:rFonts w:ascii="Arial" w:hAnsi="Arial" w:cs="Arial"/>
          <w:i/>
          <w:iCs/>
          <w:sz w:val="18"/>
          <w:szCs w:val="18"/>
        </w:rPr>
        <w:t xml:space="preserve">, nawierzchniach z betonu wodoprzepuszczalnego, w ogrodach wertykalnych, kuwetach, oczkach wodnych i innych dopuszczalnych rozwiązaniach. </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14) Ustalenie dla Kampusu AGH wskaźnika intensywności zabudowy nadziemnej na poziomie 4.0 dla całego terenu objętego projektem planu. </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15) Umożliwienie przekształceń układu komunikacyjnego i rodzajów nawierzchni kampusu AGH </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21) Zakwalifikowanie wyznaczanych w Projekcie Planu przewidywanych terenów usługowych jako obszarów zabudowy Śródmiejskiej. </w:t>
      </w:r>
    </w:p>
    <w:p w:rsidR="00A72110" w:rsidRDefault="00A72110" w:rsidP="00A72110">
      <w:pPr>
        <w:pStyle w:val="Default"/>
        <w:jc w:val="both"/>
        <w:rPr>
          <w:rFonts w:ascii="Arial" w:hAnsi="Arial" w:cs="Arial"/>
          <w:i/>
          <w:iCs/>
          <w:sz w:val="18"/>
          <w:szCs w:val="18"/>
        </w:rPr>
      </w:pPr>
      <w:r>
        <w:rPr>
          <w:rFonts w:ascii="Arial" w:hAnsi="Arial" w:cs="Arial"/>
          <w:i/>
          <w:iCs/>
          <w:sz w:val="18"/>
          <w:szCs w:val="18"/>
        </w:rPr>
        <w:t>22) Dopuszczenie lokalizowania budynków w granicach działek i na styku z innymi budynkami.</w:t>
      </w:r>
    </w:p>
    <w:p w:rsidR="00A72110" w:rsidRDefault="00A72110" w:rsidP="00A72110">
      <w:pPr>
        <w:pStyle w:val="Default"/>
        <w:jc w:val="both"/>
        <w:rPr>
          <w:sz w:val="18"/>
          <w:szCs w:val="18"/>
        </w:rPr>
      </w:pPr>
    </w:p>
    <w:p w:rsidR="00A72110" w:rsidRDefault="00A72110" w:rsidP="00A72110">
      <w:pPr>
        <w:pStyle w:val="Tekstpodstawowy3"/>
        <w:numPr>
          <w:ilvl w:val="0"/>
          <w:numId w:val="4"/>
        </w:numPr>
        <w:jc w:val="both"/>
        <w:rPr>
          <w:sz w:val="18"/>
          <w:szCs w:val="18"/>
          <w:u w:val="none"/>
        </w:rPr>
      </w:pPr>
      <w:r>
        <w:rPr>
          <w:snapToGrid w:val="0"/>
          <w:sz w:val="18"/>
          <w:szCs w:val="18"/>
          <w:u w:val="none"/>
        </w:rPr>
        <w:t>zapisy wynikające z koncepcji planu miejscowego z dnia 26.08.2024 r.:</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 24. 1. Wyznacza się </w:t>
      </w:r>
      <w:r>
        <w:rPr>
          <w:rFonts w:ascii="Arial" w:hAnsi="Arial" w:cs="Arial"/>
          <w:b/>
          <w:bCs/>
          <w:i/>
          <w:iCs/>
          <w:sz w:val="18"/>
          <w:szCs w:val="18"/>
        </w:rPr>
        <w:t>Tereny usług nauki</w:t>
      </w:r>
      <w:r>
        <w:rPr>
          <w:rFonts w:ascii="Arial" w:hAnsi="Arial" w:cs="Arial"/>
          <w:i/>
          <w:iCs/>
          <w:sz w:val="18"/>
          <w:szCs w:val="18"/>
        </w:rPr>
        <w:t xml:space="preserve"> oznaczone symbolami 5UN, 6UN, 7UN, 8UN, 10UN, </w:t>
      </w:r>
      <w:r>
        <w:rPr>
          <w:rFonts w:ascii="Arial" w:hAnsi="Arial" w:cs="Arial"/>
          <w:b/>
          <w:bCs/>
          <w:i/>
          <w:iCs/>
          <w:sz w:val="18"/>
          <w:szCs w:val="18"/>
        </w:rPr>
        <w:t>11UN</w:t>
      </w:r>
      <w:r>
        <w:rPr>
          <w:rFonts w:ascii="Arial" w:hAnsi="Arial" w:cs="Arial"/>
          <w:i/>
          <w:iCs/>
          <w:sz w:val="18"/>
          <w:szCs w:val="18"/>
        </w:rPr>
        <w:t>, 12UN, 13UN, 14UN, 15UN:</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 36. 1. Wyznacza się </w:t>
      </w:r>
      <w:r>
        <w:rPr>
          <w:rFonts w:ascii="Arial" w:hAnsi="Arial" w:cs="Arial"/>
          <w:b/>
          <w:bCs/>
          <w:i/>
          <w:iCs/>
          <w:sz w:val="18"/>
          <w:szCs w:val="18"/>
        </w:rPr>
        <w:t>Tereny zieleni urządzonej</w:t>
      </w:r>
      <w:r>
        <w:rPr>
          <w:rFonts w:ascii="Arial" w:hAnsi="Arial" w:cs="Arial"/>
          <w:i/>
          <w:iCs/>
          <w:sz w:val="18"/>
          <w:szCs w:val="18"/>
        </w:rPr>
        <w:t xml:space="preserve"> oznaczone symbolami 1ZP, 2ZP, 3ZP, 4ZP, 5ZP, </w:t>
      </w:r>
      <w:r>
        <w:rPr>
          <w:rFonts w:ascii="Arial" w:hAnsi="Arial" w:cs="Arial"/>
          <w:b/>
          <w:bCs/>
          <w:i/>
          <w:iCs/>
          <w:sz w:val="18"/>
          <w:szCs w:val="18"/>
        </w:rPr>
        <w:t>6ZP</w:t>
      </w:r>
      <w:r>
        <w:rPr>
          <w:rFonts w:ascii="Arial" w:hAnsi="Arial" w:cs="Arial"/>
          <w:i/>
          <w:iCs/>
          <w:sz w:val="18"/>
          <w:szCs w:val="18"/>
        </w:rPr>
        <w:t>, 7ZP, 8ZP, 9ZP, 10ZP, 11ZP, 12ZP, 13ZP.</w:t>
      </w:r>
    </w:p>
    <w:p w:rsidR="00A72110" w:rsidRDefault="00A72110" w:rsidP="00A72110">
      <w:pPr>
        <w:pStyle w:val="Default"/>
        <w:jc w:val="both"/>
        <w:rPr>
          <w:sz w:val="18"/>
          <w:szCs w:val="18"/>
        </w:rPr>
      </w:pPr>
      <w:r>
        <w:rPr>
          <w:rFonts w:ascii="Arial" w:hAnsi="Arial" w:cs="Arial"/>
          <w:i/>
          <w:iCs/>
          <w:sz w:val="18"/>
          <w:szCs w:val="18"/>
        </w:rPr>
        <w:t>§ 24. 2. Ustala się klasę przeznaczenia uzupełniającego:</w:t>
      </w:r>
      <w:r>
        <w:rPr>
          <w:sz w:val="18"/>
          <w:szCs w:val="18"/>
        </w:rPr>
        <w:t xml:space="preserve"> </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1) teren usług gastronomii; </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2) teren usług zdrowia i pomocy społecznej; </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3) teren usług sportu i rekreacji; </w:t>
      </w:r>
    </w:p>
    <w:p w:rsidR="00A72110" w:rsidRDefault="00A72110" w:rsidP="00A72110">
      <w:pPr>
        <w:pStyle w:val="Default"/>
        <w:jc w:val="both"/>
        <w:rPr>
          <w:sz w:val="18"/>
          <w:szCs w:val="18"/>
        </w:rPr>
      </w:pPr>
      <w:r>
        <w:rPr>
          <w:rFonts w:ascii="Arial" w:hAnsi="Arial" w:cs="Arial"/>
          <w:i/>
          <w:iCs/>
          <w:sz w:val="18"/>
          <w:szCs w:val="18"/>
        </w:rPr>
        <w:t>4) teren usług kultury i rozrywki;</w:t>
      </w:r>
      <w:r>
        <w:rPr>
          <w:sz w:val="18"/>
          <w:szCs w:val="18"/>
        </w:rPr>
        <w:t xml:space="preserve"> </w:t>
      </w:r>
    </w:p>
    <w:p w:rsidR="00A72110" w:rsidRDefault="00A72110" w:rsidP="00A72110">
      <w:pPr>
        <w:pStyle w:val="Default"/>
        <w:numPr>
          <w:ilvl w:val="0"/>
          <w:numId w:val="5"/>
        </w:numPr>
        <w:jc w:val="both"/>
        <w:rPr>
          <w:rFonts w:ascii="Arial" w:hAnsi="Arial" w:cs="Arial"/>
          <w:i/>
          <w:iCs/>
          <w:sz w:val="18"/>
          <w:szCs w:val="18"/>
        </w:rPr>
      </w:pPr>
      <w:r>
        <w:rPr>
          <w:rFonts w:ascii="Arial" w:hAnsi="Arial" w:cs="Arial"/>
          <w:i/>
          <w:iCs/>
          <w:sz w:val="18"/>
          <w:szCs w:val="18"/>
        </w:rPr>
        <w:t>dla terenu 11UN:</w:t>
      </w:r>
    </w:p>
    <w:p w:rsidR="00A72110" w:rsidRDefault="00A72110" w:rsidP="00A72110">
      <w:pPr>
        <w:pStyle w:val="Default"/>
        <w:ind w:left="360"/>
        <w:jc w:val="both"/>
        <w:rPr>
          <w:rFonts w:ascii="Arial" w:hAnsi="Arial" w:cs="Arial"/>
          <w:i/>
          <w:iCs/>
          <w:sz w:val="18"/>
          <w:szCs w:val="18"/>
        </w:rPr>
      </w:pPr>
      <w:r>
        <w:rPr>
          <w:rFonts w:ascii="Arial" w:hAnsi="Arial" w:cs="Arial"/>
          <w:i/>
          <w:iCs/>
          <w:sz w:val="18"/>
          <w:szCs w:val="18"/>
        </w:rPr>
        <w:t>a) dopuszczenie lokalizacji budynków zamieszkania zbiorowego</w:t>
      </w:r>
    </w:p>
    <w:p w:rsidR="00A72110" w:rsidRDefault="00A72110" w:rsidP="00A72110">
      <w:pPr>
        <w:pStyle w:val="Default"/>
        <w:ind w:left="360"/>
        <w:jc w:val="both"/>
        <w:rPr>
          <w:rFonts w:ascii="Arial" w:hAnsi="Arial" w:cs="Arial"/>
          <w:i/>
          <w:iCs/>
          <w:sz w:val="18"/>
          <w:szCs w:val="18"/>
        </w:rPr>
      </w:pPr>
      <w:r>
        <w:rPr>
          <w:rFonts w:ascii="Arial" w:hAnsi="Arial" w:cs="Arial"/>
          <w:i/>
          <w:iCs/>
          <w:sz w:val="18"/>
          <w:szCs w:val="18"/>
        </w:rPr>
        <w:t xml:space="preserve">b) minimalny udział powierzchni biologicznie czynnej – </w:t>
      </w:r>
      <w:r>
        <w:rPr>
          <w:rFonts w:ascii="Arial" w:hAnsi="Arial" w:cs="Arial"/>
          <w:b/>
          <w:bCs/>
          <w:i/>
          <w:iCs/>
          <w:sz w:val="18"/>
          <w:szCs w:val="18"/>
        </w:rPr>
        <w:t>20%</w:t>
      </w:r>
      <w:r>
        <w:rPr>
          <w:rFonts w:ascii="Arial" w:hAnsi="Arial" w:cs="Arial"/>
          <w:i/>
          <w:iCs/>
          <w:sz w:val="18"/>
          <w:szCs w:val="18"/>
        </w:rPr>
        <w:t>,</w:t>
      </w:r>
    </w:p>
    <w:p w:rsidR="00A72110" w:rsidRDefault="00A72110" w:rsidP="00A72110">
      <w:pPr>
        <w:pStyle w:val="Default"/>
        <w:ind w:left="360"/>
        <w:jc w:val="both"/>
        <w:rPr>
          <w:rFonts w:ascii="Arial" w:hAnsi="Arial" w:cs="Arial"/>
          <w:i/>
          <w:iCs/>
          <w:sz w:val="18"/>
          <w:szCs w:val="18"/>
        </w:rPr>
      </w:pPr>
      <w:r>
        <w:rPr>
          <w:rFonts w:ascii="Arial" w:hAnsi="Arial" w:cs="Arial"/>
          <w:i/>
          <w:iCs/>
          <w:sz w:val="18"/>
          <w:szCs w:val="18"/>
        </w:rPr>
        <w:t xml:space="preserve">c) minimalną nadziemną intensywność zabudowy – </w:t>
      </w:r>
      <w:r>
        <w:rPr>
          <w:rFonts w:ascii="Arial" w:hAnsi="Arial" w:cs="Arial"/>
          <w:b/>
          <w:bCs/>
          <w:i/>
          <w:iCs/>
          <w:sz w:val="18"/>
          <w:szCs w:val="18"/>
        </w:rPr>
        <w:t>0,1</w:t>
      </w:r>
      <w:r>
        <w:rPr>
          <w:rFonts w:ascii="Arial" w:hAnsi="Arial" w:cs="Arial"/>
          <w:i/>
          <w:iCs/>
          <w:sz w:val="18"/>
          <w:szCs w:val="18"/>
        </w:rPr>
        <w:t>,</w:t>
      </w:r>
    </w:p>
    <w:p w:rsidR="00A72110" w:rsidRDefault="00A72110" w:rsidP="00A72110">
      <w:pPr>
        <w:pStyle w:val="Default"/>
        <w:ind w:left="360"/>
        <w:jc w:val="both"/>
        <w:rPr>
          <w:rFonts w:ascii="Arial" w:hAnsi="Arial" w:cs="Arial"/>
          <w:i/>
          <w:iCs/>
          <w:sz w:val="18"/>
          <w:szCs w:val="18"/>
        </w:rPr>
      </w:pPr>
      <w:r>
        <w:rPr>
          <w:rFonts w:ascii="Arial" w:hAnsi="Arial" w:cs="Arial"/>
          <w:i/>
          <w:iCs/>
          <w:sz w:val="18"/>
          <w:szCs w:val="18"/>
        </w:rPr>
        <w:t xml:space="preserve">d) maksymalna nadziemną intensywność zabudowy – </w:t>
      </w:r>
      <w:r>
        <w:rPr>
          <w:rFonts w:ascii="Arial" w:hAnsi="Arial" w:cs="Arial"/>
          <w:b/>
          <w:bCs/>
          <w:i/>
          <w:iCs/>
          <w:sz w:val="18"/>
          <w:szCs w:val="18"/>
        </w:rPr>
        <w:t>2,5</w:t>
      </w:r>
      <w:r>
        <w:rPr>
          <w:rFonts w:ascii="Arial" w:hAnsi="Arial" w:cs="Arial"/>
          <w:i/>
          <w:iCs/>
          <w:sz w:val="18"/>
          <w:szCs w:val="18"/>
        </w:rPr>
        <w:t>,</w:t>
      </w:r>
    </w:p>
    <w:p w:rsidR="00A72110" w:rsidRDefault="00A72110" w:rsidP="00A72110">
      <w:pPr>
        <w:pStyle w:val="Default"/>
        <w:ind w:left="360"/>
        <w:jc w:val="both"/>
        <w:rPr>
          <w:rFonts w:ascii="Arial" w:hAnsi="Arial" w:cs="Arial"/>
          <w:i/>
          <w:iCs/>
          <w:sz w:val="18"/>
          <w:szCs w:val="18"/>
        </w:rPr>
      </w:pPr>
      <w:r>
        <w:rPr>
          <w:rFonts w:ascii="Arial" w:hAnsi="Arial" w:cs="Arial"/>
          <w:i/>
          <w:iCs/>
          <w:sz w:val="18"/>
          <w:szCs w:val="18"/>
        </w:rPr>
        <w:t xml:space="preserve">e) maksymalny udział powierzchni zabudowy – </w:t>
      </w:r>
      <w:r>
        <w:rPr>
          <w:rFonts w:ascii="Arial" w:hAnsi="Arial" w:cs="Arial"/>
          <w:b/>
          <w:bCs/>
          <w:i/>
          <w:iCs/>
          <w:sz w:val="18"/>
          <w:szCs w:val="18"/>
        </w:rPr>
        <w:t>70%</w:t>
      </w:r>
      <w:r>
        <w:rPr>
          <w:rFonts w:ascii="Arial" w:hAnsi="Arial" w:cs="Arial"/>
          <w:i/>
          <w:iCs/>
          <w:sz w:val="18"/>
          <w:szCs w:val="18"/>
        </w:rPr>
        <w:t>,</w:t>
      </w:r>
    </w:p>
    <w:p w:rsidR="00A72110" w:rsidRDefault="00A72110" w:rsidP="00A72110">
      <w:pPr>
        <w:pStyle w:val="Default"/>
        <w:ind w:left="360"/>
        <w:jc w:val="both"/>
        <w:rPr>
          <w:rFonts w:ascii="Arial" w:hAnsi="Arial" w:cs="Arial"/>
          <w:i/>
          <w:iCs/>
          <w:sz w:val="18"/>
          <w:szCs w:val="18"/>
        </w:rPr>
      </w:pPr>
      <w:r>
        <w:rPr>
          <w:rFonts w:ascii="Arial" w:hAnsi="Arial" w:cs="Arial"/>
          <w:i/>
          <w:iCs/>
          <w:sz w:val="18"/>
          <w:szCs w:val="18"/>
        </w:rPr>
        <w:t xml:space="preserve">f) maksymalną wysokość zabudowy – </w:t>
      </w:r>
      <w:r>
        <w:rPr>
          <w:rFonts w:ascii="Arial" w:hAnsi="Arial" w:cs="Arial"/>
          <w:b/>
          <w:bCs/>
          <w:i/>
          <w:iCs/>
          <w:sz w:val="18"/>
          <w:szCs w:val="18"/>
        </w:rPr>
        <w:t>20 m</w:t>
      </w:r>
      <w:r>
        <w:rPr>
          <w:rFonts w:ascii="Arial" w:hAnsi="Arial" w:cs="Arial"/>
          <w:i/>
          <w:iCs/>
          <w:sz w:val="18"/>
          <w:szCs w:val="18"/>
        </w:rPr>
        <w:t>,</w:t>
      </w:r>
    </w:p>
    <w:p w:rsidR="00A72110" w:rsidRDefault="00A72110" w:rsidP="00A72110">
      <w:pPr>
        <w:pStyle w:val="Default"/>
        <w:jc w:val="both"/>
        <w:rPr>
          <w:rFonts w:ascii="Arial" w:hAnsi="Arial" w:cs="Arial"/>
          <w:i/>
          <w:iCs/>
          <w:sz w:val="18"/>
          <w:szCs w:val="18"/>
        </w:rPr>
      </w:pPr>
      <w:r>
        <w:rPr>
          <w:rFonts w:ascii="Arial" w:hAnsi="Arial" w:cs="Arial"/>
          <w:i/>
          <w:iCs/>
          <w:sz w:val="18"/>
          <w:szCs w:val="18"/>
        </w:rPr>
        <w:lastRenderedPageBreak/>
        <w:t xml:space="preserve">       g) maksymalną wysokość obiektu budowlanego – </w:t>
      </w:r>
      <w:r>
        <w:rPr>
          <w:rFonts w:ascii="Arial" w:hAnsi="Arial" w:cs="Arial"/>
          <w:b/>
          <w:bCs/>
          <w:i/>
          <w:iCs/>
          <w:sz w:val="18"/>
          <w:szCs w:val="18"/>
        </w:rPr>
        <w:t>22 m</w:t>
      </w:r>
      <w:r>
        <w:rPr>
          <w:rFonts w:ascii="Arial" w:hAnsi="Arial" w:cs="Arial"/>
          <w:i/>
          <w:iCs/>
          <w:sz w:val="18"/>
          <w:szCs w:val="18"/>
        </w:rPr>
        <w:t>,</w:t>
      </w:r>
    </w:p>
    <w:p w:rsidR="00A72110" w:rsidRDefault="00A72110" w:rsidP="00A72110">
      <w:pPr>
        <w:pStyle w:val="Default"/>
        <w:jc w:val="both"/>
        <w:rPr>
          <w:rFonts w:ascii="Arial" w:hAnsi="Arial" w:cs="Arial"/>
          <w:i/>
          <w:iCs/>
          <w:sz w:val="18"/>
          <w:szCs w:val="18"/>
        </w:rPr>
      </w:pPr>
      <w:r>
        <w:rPr>
          <w:rFonts w:ascii="Arial" w:hAnsi="Arial" w:cs="Arial"/>
          <w:i/>
          <w:iCs/>
          <w:sz w:val="18"/>
          <w:szCs w:val="18"/>
        </w:rPr>
        <w:t xml:space="preserve">§ 36. 2. W zakresie zagospodarowania terenu ustala się: </w:t>
      </w:r>
    </w:p>
    <w:p w:rsidR="00A72110" w:rsidRDefault="00A72110" w:rsidP="00A72110">
      <w:pPr>
        <w:pStyle w:val="Default"/>
        <w:jc w:val="both"/>
        <w:rPr>
          <w:sz w:val="18"/>
          <w:szCs w:val="18"/>
        </w:rPr>
      </w:pPr>
      <w:r>
        <w:rPr>
          <w:rFonts w:ascii="Arial" w:hAnsi="Arial" w:cs="Arial"/>
          <w:i/>
          <w:iCs/>
          <w:sz w:val="18"/>
          <w:szCs w:val="18"/>
        </w:rPr>
        <w:t xml:space="preserve">3) dla terenów: 4ZP, 5ZP, </w:t>
      </w:r>
      <w:r>
        <w:rPr>
          <w:rFonts w:ascii="Arial" w:hAnsi="Arial" w:cs="Arial"/>
          <w:b/>
          <w:bCs/>
          <w:i/>
          <w:iCs/>
          <w:sz w:val="18"/>
          <w:szCs w:val="18"/>
        </w:rPr>
        <w:t>6ZP</w:t>
      </w:r>
      <w:r>
        <w:rPr>
          <w:rFonts w:ascii="Arial" w:hAnsi="Arial" w:cs="Arial"/>
          <w:i/>
          <w:iCs/>
          <w:sz w:val="18"/>
          <w:szCs w:val="18"/>
        </w:rPr>
        <w:t>, 7ZP, 8ZP, 9ZP, 11ZP, 12ZP:</w:t>
      </w:r>
      <w:r>
        <w:rPr>
          <w:sz w:val="18"/>
          <w:szCs w:val="18"/>
        </w:rPr>
        <w:t xml:space="preserve"> </w:t>
      </w:r>
    </w:p>
    <w:p w:rsidR="00A72110" w:rsidRDefault="00A72110" w:rsidP="00A72110">
      <w:pPr>
        <w:pStyle w:val="Default"/>
        <w:numPr>
          <w:ilvl w:val="0"/>
          <w:numId w:val="9"/>
        </w:numPr>
        <w:jc w:val="both"/>
        <w:rPr>
          <w:rFonts w:ascii="Arial" w:hAnsi="Arial" w:cs="Arial"/>
          <w:i/>
          <w:iCs/>
          <w:sz w:val="18"/>
          <w:szCs w:val="18"/>
        </w:rPr>
      </w:pPr>
      <w:r>
        <w:rPr>
          <w:rFonts w:ascii="Arial" w:hAnsi="Arial" w:cs="Arial"/>
          <w:i/>
          <w:iCs/>
          <w:sz w:val="18"/>
          <w:szCs w:val="18"/>
        </w:rPr>
        <w:t>lokalizację skwerów, zieleńców oraz zieleni towarzyszącej obiektom budowlanym,</w:t>
      </w:r>
    </w:p>
    <w:p w:rsidR="00A72110" w:rsidRDefault="00A72110" w:rsidP="00A72110">
      <w:pPr>
        <w:pStyle w:val="Default"/>
        <w:numPr>
          <w:ilvl w:val="0"/>
          <w:numId w:val="9"/>
        </w:numPr>
        <w:jc w:val="both"/>
        <w:rPr>
          <w:rFonts w:ascii="Arial" w:hAnsi="Arial" w:cs="Arial"/>
          <w:i/>
          <w:iCs/>
          <w:sz w:val="18"/>
          <w:szCs w:val="18"/>
        </w:rPr>
      </w:pPr>
      <w:r>
        <w:rPr>
          <w:rFonts w:ascii="Arial" w:hAnsi="Arial" w:cs="Arial"/>
          <w:i/>
          <w:iCs/>
          <w:sz w:val="18"/>
          <w:szCs w:val="18"/>
        </w:rPr>
        <w:t>zakaz lokalizacji budynków,</w:t>
      </w:r>
    </w:p>
    <w:p w:rsidR="00A72110" w:rsidRDefault="00A72110" w:rsidP="00A72110">
      <w:pPr>
        <w:pStyle w:val="Default"/>
        <w:numPr>
          <w:ilvl w:val="0"/>
          <w:numId w:val="9"/>
        </w:numPr>
        <w:jc w:val="both"/>
        <w:rPr>
          <w:rFonts w:ascii="Arial" w:hAnsi="Arial" w:cs="Arial"/>
          <w:i/>
          <w:iCs/>
          <w:sz w:val="18"/>
          <w:szCs w:val="18"/>
        </w:rPr>
      </w:pPr>
      <w:r>
        <w:rPr>
          <w:rFonts w:ascii="Arial" w:hAnsi="Arial" w:cs="Arial"/>
          <w:i/>
          <w:iCs/>
          <w:sz w:val="18"/>
          <w:szCs w:val="18"/>
        </w:rPr>
        <w:t xml:space="preserve">minimalny udział powierzchni biologicznie czynnej </w:t>
      </w:r>
      <w:r>
        <w:rPr>
          <w:rFonts w:ascii="Arial" w:hAnsi="Arial" w:cs="Arial"/>
          <w:b/>
          <w:bCs/>
          <w:i/>
          <w:iCs/>
          <w:sz w:val="18"/>
          <w:szCs w:val="18"/>
        </w:rPr>
        <w:t>80%</w:t>
      </w:r>
      <w:r>
        <w:rPr>
          <w:rFonts w:ascii="Arial" w:hAnsi="Arial" w:cs="Arial"/>
          <w:i/>
          <w:iCs/>
          <w:sz w:val="18"/>
          <w:szCs w:val="18"/>
        </w:rPr>
        <w:t>,</w:t>
      </w:r>
    </w:p>
    <w:p w:rsidR="00A72110" w:rsidRDefault="00A72110" w:rsidP="00A72110">
      <w:pPr>
        <w:pStyle w:val="Default"/>
        <w:numPr>
          <w:ilvl w:val="0"/>
          <w:numId w:val="9"/>
        </w:numPr>
        <w:jc w:val="both"/>
        <w:rPr>
          <w:rFonts w:ascii="Arial" w:hAnsi="Arial" w:cs="Arial"/>
          <w:i/>
          <w:iCs/>
          <w:sz w:val="18"/>
          <w:szCs w:val="18"/>
        </w:rPr>
      </w:pPr>
      <w:r>
        <w:rPr>
          <w:rFonts w:ascii="Arial" w:hAnsi="Arial" w:cs="Arial"/>
          <w:i/>
          <w:iCs/>
          <w:sz w:val="18"/>
          <w:szCs w:val="18"/>
        </w:rPr>
        <w:t xml:space="preserve">maksymalną wysokość obiektu budowlanego: </w:t>
      </w:r>
      <w:r>
        <w:rPr>
          <w:rFonts w:ascii="Arial" w:hAnsi="Arial" w:cs="Arial"/>
          <w:b/>
          <w:bCs/>
          <w:i/>
          <w:iCs/>
          <w:sz w:val="18"/>
          <w:szCs w:val="18"/>
        </w:rPr>
        <w:t>5 m</w:t>
      </w:r>
      <w:r>
        <w:rPr>
          <w:rFonts w:ascii="Arial" w:hAnsi="Arial" w:cs="Arial"/>
          <w:i/>
          <w:iCs/>
          <w:sz w:val="18"/>
          <w:szCs w:val="18"/>
        </w:rPr>
        <w:t>,</w:t>
      </w:r>
    </w:p>
    <w:p w:rsidR="00A72110" w:rsidRDefault="00A72110" w:rsidP="00A72110">
      <w:pPr>
        <w:pStyle w:val="Default"/>
        <w:numPr>
          <w:ilvl w:val="0"/>
          <w:numId w:val="9"/>
        </w:numPr>
        <w:jc w:val="both"/>
        <w:rPr>
          <w:sz w:val="18"/>
          <w:szCs w:val="18"/>
        </w:rPr>
      </w:pPr>
      <w:r>
        <w:rPr>
          <w:rFonts w:ascii="Arial" w:hAnsi="Arial" w:cs="Arial"/>
          <w:i/>
          <w:iCs/>
          <w:sz w:val="18"/>
          <w:szCs w:val="18"/>
        </w:rPr>
        <w:t xml:space="preserve">w terenie </w:t>
      </w:r>
      <w:r>
        <w:rPr>
          <w:rFonts w:ascii="Arial" w:hAnsi="Arial" w:cs="Arial"/>
          <w:b/>
          <w:bCs/>
          <w:i/>
          <w:iCs/>
          <w:sz w:val="18"/>
          <w:szCs w:val="18"/>
        </w:rPr>
        <w:t>6ZP</w:t>
      </w:r>
      <w:r>
        <w:rPr>
          <w:rFonts w:ascii="Arial" w:hAnsi="Arial" w:cs="Arial"/>
          <w:i/>
          <w:iCs/>
          <w:sz w:val="18"/>
          <w:szCs w:val="18"/>
        </w:rPr>
        <w:t xml:space="preserve"> znajduje się obiekt (pomnik) uznany za obiekt o wartościach zabytkowych oznaczony </w:t>
      </w:r>
      <w:r>
        <w:rPr>
          <w:rFonts w:ascii="Arial" w:hAnsi="Arial" w:cs="Arial"/>
          <w:i/>
          <w:iCs/>
          <w:sz w:val="18"/>
          <w:szCs w:val="18"/>
        </w:rPr>
        <w:br/>
        <w:t>na rysunku planu symbolem H8, dla którego ustala się nakaz ochrony;</w:t>
      </w:r>
    </w:p>
    <w:p w:rsidR="00A72110" w:rsidRDefault="00A72110" w:rsidP="00A72110">
      <w:pPr>
        <w:pStyle w:val="Tekstpodstawowy3"/>
        <w:numPr>
          <w:ilvl w:val="0"/>
          <w:numId w:val="4"/>
        </w:numPr>
        <w:jc w:val="both"/>
        <w:rPr>
          <w:sz w:val="18"/>
          <w:szCs w:val="18"/>
          <w:u w:val="none"/>
        </w:rPr>
      </w:pPr>
      <w:r>
        <w:rPr>
          <w:snapToGrid w:val="0"/>
          <w:sz w:val="18"/>
          <w:szCs w:val="18"/>
          <w:u w:val="none"/>
        </w:rPr>
        <w:t>niezgodności inwestycji z koncepcją planu miejscowego:</w:t>
      </w:r>
    </w:p>
    <w:p w:rsidR="00A72110" w:rsidRDefault="00A72110" w:rsidP="00A72110">
      <w:pPr>
        <w:pStyle w:val="Tekstpodstawowy3"/>
        <w:numPr>
          <w:ilvl w:val="0"/>
          <w:numId w:val="1"/>
        </w:numPr>
        <w:jc w:val="both"/>
        <w:rPr>
          <w:b w:val="0"/>
          <w:bCs w:val="0"/>
          <w:snapToGrid w:val="0"/>
          <w:sz w:val="18"/>
          <w:szCs w:val="18"/>
          <w:u w:val="none"/>
        </w:rPr>
      </w:pPr>
      <w:r>
        <w:rPr>
          <w:b w:val="0"/>
          <w:bCs w:val="0"/>
          <w:snapToGrid w:val="0"/>
          <w:sz w:val="18"/>
          <w:szCs w:val="18"/>
          <w:u w:val="none"/>
        </w:rPr>
        <w:t>budynek częściowo zlokalizowany jest na terenie 6ZP (tereny zielone), na którym obowiązuje zakaz lokalizacji budynków</w:t>
      </w:r>
    </w:p>
    <w:p w:rsidR="00A72110" w:rsidRDefault="00A72110" w:rsidP="00A72110">
      <w:pPr>
        <w:pStyle w:val="Tekstpodstawowy3"/>
        <w:numPr>
          <w:ilvl w:val="0"/>
          <w:numId w:val="1"/>
        </w:numPr>
        <w:jc w:val="both"/>
        <w:rPr>
          <w:b w:val="0"/>
          <w:bCs w:val="0"/>
          <w:sz w:val="18"/>
          <w:szCs w:val="18"/>
          <w:u w:val="none"/>
        </w:rPr>
      </w:pPr>
      <w:r>
        <w:rPr>
          <w:b w:val="0"/>
          <w:bCs w:val="0"/>
          <w:snapToGrid w:val="0"/>
          <w:sz w:val="18"/>
          <w:szCs w:val="18"/>
          <w:u w:val="none"/>
        </w:rPr>
        <w:t>obiekt przekracza nieprzekraczalną linię zabudowy</w:t>
      </w:r>
    </w:p>
    <w:p w:rsidR="00A72110" w:rsidRDefault="00A72110" w:rsidP="00A72110">
      <w:pPr>
        <w:pStyle w:val="Tekstpodstawowy3"/>
        <w:jc w:val="both"/>
        <w:rPr>
          <w:b w:val="0"/>
          <w:bCs w:val="0"/>
          <w:sz w:val="18"/>
          <w:szCs w:val="18"/>
          <w:u w:val="none"/>
        </w:rPr>
      </w:pPr>
    </w:p>
    <w:p w:rsidR="00A72110" w:rsidRDefault="00A72110" w:rsidP="00A72110">
      <w:pPr>
        <w:pStyle w:val="Tekstpodstawowy3"/>
        <w:numPr>
          <w:ilvl w:val="0"/>
          <w:numId w:val="4"/>
        </w:numPr>
        <w:jc w:val="both"/>
        <w:rPr>
          <w:sz w:val="18"/>
          <w:szCs w:val="18"/>
          <w:u w:val="none"/>
        </w:rPr>
      </w:pPr>
      <w:r>
        <w:rPr>
          <w:sz w:val="18"/>
          <w:szCs w:val="18"/>
          <w:u w:val="none"/>
        </w:rPr>
        <w:t>wnoszone uwagi:</w:t>
      </w:r>
    </w:p>
    <w:p w:rsidR="00A72110" w:rsidRDefault="00A72110" w:rsidP="00A72110">
      <w:pPr>
        <w:pStyle w:val="Tekstpodstawowy3"/>
        <w:numPr>
          <w:ilvl w:val="0"/>
          <w:numId w:val="1"/>
        </w:numPr>
        <w:jc w:val="both"/>
        <w:rPr>
          <w:b w:val="0"/>
          <w:bCs w:val="0"/>
          <w:sz w:val="18"/>
          <w:szCs w:val="18"/>
          <w:u w:val="none"/>
        </w:rPr>
      </w:pPr>
      <w:r>
        <w:rPr>
          <w:b w:val="0"/>
          <w:bCs w:val="0"/>
          <w:sz w:val="18"/>
          <w:szCs w:val="18"/>
          <w:u w:val="none"/>
        </w:rPr>
        <w:t>uwzględnienie wydanego pozwolenia na budowę nr 254/6740.2/2018 + decyzja zamienna nr 533/6740.2/2021</w:t>
      </w:r>
    </w:p>
    <w:p w:rsidR="00A72110" w:rsidRDefault="00A72110" w:rsidP="00A72110">
      <w:pPr>
        <w:pStyle w:val="Tekstpodstawowy3"/>
        <w:numPr>
          <w:ilvl w:val="0"/>
          <w:numId w:val="1"/>
        </w:numPr>
        <w:jc w:val="both"/>
        <w:rPr>
          <w:b w:val="0"/>
          <w:bCs w:val="0"/>
          <w:sz w:val="18"/>
          <w:szCs w:val="18"/>
          <w:u w:val="none"/>
        </w:rPr>
      </w:pPr>
      <w:r>
        <w:rPr>
          <w:b w:val="0"/>
          <w:bCs w:val="0"/>
          <w:sz w:val="18"/>
          <w:szCs w:val="18"/>
          <w:u w:val="none"/>
        </w:rPr>
        <w:t>przesunięcie nieprzekraczalnej linii zabudowy</w:t>
      </w:r>
    </w:p>
    <w:p w:rsidR="00A72110" w:rsidRDefault="00A72110" w:rsidP="00A72110">
      <w:pPr>
        <w:pStyle w:val="Tekstpodstawowy3"/>
        <w:numPr>
          <w:ilvl w:val="0"/>
          <w:numId w:val="1"/>
        </w:numPr>
        <w:jc w:val="both"/>
        <w:rPr>
          <w:b w:val="0"/>
          <w:bCs w:val="0"/>
          <w:sz w:val="18"/>
          <w:szCs w:val="18"/>
          <w:u w:val="none"/>
        </w:rPr>
      </w:pPr>
      <w:r>
        <w:rPr>
          <w:b w:val="0"/>
          <w:bCs w:val="0"/>
          <w:sz w:val="18"/>
          <w:szCs w:val="18"/>
          <w:u w:val="none"/>
        </w:rPr>
        <w:t>powiększenie terenu 11UN</w:t>
      </w:r>
    </w:p>
    <w:p w:rsidR="00A72110" w:rsidRDefault="00A72110" w:rsidP="00A72110">
      <w:pPr>
        <w:pStyle w:val="Tekstpodstawowy3"/>
        <w:numPr>
          <w:ilvl w:val="0"/>
          <w:numId w:val="1"/>
        </w:numPr>
        <w:jc w:val="both"/>
        <w:rPr>
          <w:b w:val="0"/>
          <w:bCs w:val="0"/>
          <w:sz w:val="18"/>
          <w:szCs w:val="18"/>
          <w:u w:val="none"/>
        </w:rPr>
      </w:pPr>
      <w:r>
        <w:rPr>
          <w:b w:val="0"/>
          <w:bCs w:val="0"/>
          <w:sz w:val="18"/>
          <w:szCs w:val="18"/>
          <w:u w:val="none"/>
        </w:rPr>
        <w:t>zmniejszenie terenu 6ZP</w:t>
      </w:r>
    </w:p>
    <w:p w:rsidR="00A72110" w:rsidRPr="00D1198F" w:rsidRDefault="00A72110" w:rsidP="00A72110">
      <w:pPr>
        <w:pStyle w:val="Tekstpodstawowy3"/>
        <w:numPr>
          <w:ilvl w:val="0"/>
          <w:numId w:val="1"/>
        </w:numPr>
        <w:jc w:val="both"/>
        <w:rPr>
          <w:b w:val="0"/>
          <w:bCs w:val="0"/>
          <w:sz w:val="18"/>
          <w:szCs w:val="18"/>
          <w:u w:val="none"/>
        </w:rPr>
      </w:pPr>
      <w:r>
        <w:rPr>
          <w:b w:val="0"/>
          <w:bCs w:val="0"/>
          <w:sz w:val="18"/>
          <w:szCs w:val="18"/>
          <w:u w:val="none"/>
        </w:rPr>
        <w:t>wprowadzenie strefy zieleni</w:t>
      </w:r>
    </w:p>
    <w:p w:rsidR="00A72110" w:rsidRDefault="00A72110" w:rsidP="00A72110"/>
    <w:p w:rsidR="00B36D98" w:rsidRDefault="00B36D98">
      <w:bookmarkStart w:id="0" w:name="_GoBack"/>
      <w:bookmarkEnd w:id="0"/>
    </w:p>
    <w:sectPr w:rsidR="00B36D98" w:rsidSect="00D81FB7">
      <w:footerReference w:type="default" r:id="rId5"/>
      <w:pgSz w:w="11906" w:h="16838" w:code="9"/>
      <w:pgMar w:top="1389" w:right="709" w:bottom="1418" w:left="1843"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FB7" w:rsidRDefault="00A72110">
    <w:pPr>
      <w:pStyle w:val="Stopka"/>
      <w:framePr w:wrap="auto" w:vAnchor="text" w:hAnchor="page" w:x="10691" w:y="30"/>
      <w:rPr>
        <w:rStyle w:val="Numerstrony"/>
        <w:rFonts w:ascii="Arial" w:hAnsi="Arial" w:cs="Arial"/>
        <w:sz w:val="18"/>
        <w:szCs w:val="18"/>
      </w:rPr>
    </w:pPr>
    <w:r>
      <w:rPr>
        <w:rStyle w:val="Numerstrony"/>
        <w:rFonts w:ascii="Arial" w:hAnsi="Arial" w:cs="Arial"/>
        <w:sz w:val="18"/>
        <w:szCs w:val="18"/>
      </w:rPr>
      <w:fldChar w:fldCharType="begin"/>
    </w:r>
    <w:r>
      <w:rPr>
        <w:rStyle w:val="Numerstrony"/>
        <w:rFonts w:ascii="Arial" w:hAnsi="Arial" w:cs="Arial"/>
        <w:sz w:val="18"/>
        <w:szCs w:val="18"/>
      </w:rPr>
      <w:instrText xml:space="preserve">PAGE  </w:instrText>
    </w:r>
    <w:r>
      <w:rPr>
        <w:rStyle w:val="Numerstrony"/>
        <w:rFonts w:ascii="Arial" w:hAnsi="Arial" w:cs="Arial"/>
        <w:sz w:val="18"/>
        <w:szCs w:val="18"/>
      </w:rPr>
      <w:fldChar w:fldCharType="separate"/>
    </w:r>
    <w:r>
      <w:rPr>
        <w:rStyle w:val="Numerstrony"/>
        <w:rFonts w:ascii="Arial" w:hAnsi="Arial" w:cs="Arial"/>
        <w:noProof/>
        <w:sz w:val="18"/>
        <w:szCs w:val="18"/>
      </w:rPr>
      <w:t>32</w:t>
    </w:r>
    <w:r>
      <w:rPr>
        <w:rStyle w:val="Numerstrony"/>
        <w:rFonts w:ascii="Arial" w:hAnsi="Arial" w:cs="Arial"/>
        <w:sz w:val="18"/>
        <w:szCs w:val="18"/>
      </w:rPr>
      <w:fldChar w:fldCharType="end"/>
    </w:r>
  </w:p>
  <w:p w:rsidR="00D81FB7" w:rsidRDefault="00A72110">
    <w:pPr>
      <w:pStyle w:val="Stopka"/>
      <w:pBdr>
        <w:top w:val="single" w:sz="4" w:space="0" w:color="auto"/>
      </w:pBdr>
      <w:tabs>
        <w:tab w:val="clear" w:pos="9072"/>
        <w:tab w:val="right" w:pos="9356"/>
      </w:tabs>
      <w:ind w:right="360"/>
      <w:rPr>
        <w:rFonts w:ascii="Arial" w:hAnsi="Arial" w:cs="Arial"/>
      </w:rPr>
    </w:pPr>
    <w:r>
      <w:rPr>
        <w:rFonts w:ascii="Arial" w:hAnsi="Arial" w:cs="Arial"/>
        <w:sz w:val="18"/>
        <w:szCs w:val="18"/>
      </w:rPr>
      <w:t>Wrzesień 2024</w:t>
    </w:r>
    <w:r>
      <w:rPr>
        <w:rFonts w:ascii="Arial" w:hAnsi="Arial" w:cs="Arial"/>
        <w:sz w:val="18"/>
        <w:szCs w:val="18"/>
      </w:rPr>
      <w:tab/>
      <w:t>Uwagi do koncepcji MPZP “Rejon ulic Reymonta i Oleandry”</w:t>
    </w:r>
    <w:r>
      <w:rPr>
        <w:rFonts w:ascii="Arial" w:hAnsi="Arial" w:cs="Arial"/>
        <w:sz w:val="18"/>
        <w:szCs w:val="18"/>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5E5"/>
    <w:multiLevelType w:val="singleLevel"/>
    <w:tmpl w:val="5D3AD8AC"/>
    <w:lvl w:ilvl="0">
      <w:start w:val="1"/>
      <w:numFmt w:val="lowerLetter"/>
      <w:lvlText w:val="%1)"/>
      <w:lvlJc w:val="left"/>
      <w:pPr>
        <w:tabs>
          <w:tab w:val="num" w:pos="360"/>
        </w:tabs>
        <w:ind w:left="360" w:hanging="360"/>
      </w:pPr>
      <w:rPr>
        <w:rFonts w:hint="default"/>
      </w:rPr>
    </w:lvl>
  </w:abstractNum>
  <w:abstractNum w:abstractNumId="1" w15:restartNumberingAfterBreak="0">
    <w:nsid w:val="12B90724"/>
    <w:multiLevelType w:val="singleLevel"/>
    <w:tmpl w:val="34BC8C3A"/>
    <w:lvl w:ilvl="0">
      <w:start w:val="1"/>
      <w:numFmt w:val="lowerLetter"/>
      <w:lvlText w:val="%1)"/>
      <w:lvlJc w:val="left"/>
      <w:pPr>
        <w:tabs>
          <w:tab w:val="num" w:pos="360"/>
        </w:tabs>
        <w:ind w:left="360" w:hanging="360"/>
      </w:pPr>
      <w:rPr>
        <w:rFonts w:hint="default"/>
      </w:rPr>
    </w:lvl>
  </w:abstractNum>
  <w:abstractNum w:abstractNumId="2" w15:restartNumberingAfterBreak="0">
    <w:nsid w:val="2EAA6693"/>
    <w:multiLevelType w:val="singleLevel"/>
    <w:tmpl w:val="FAD09906"/>
    <w:lvl w:ilvl="0">
      <w:start w:val="1"/>
      <w:numFmt w:val="decimal"/>
      <w:lvlText w:val="%1)"/>
      <w:lvlJc w:val="left"/>
      <w:pPr>
        <w:tabs>
          <w:tab w:val="num" w:pos="360"/>
        </w:tabs>
        <w:ind w:left="360" w:hanging="360"/>
      </w:pPr>
      <w:rPr>
        <w:rFonts w:hint="default"/>
      </w:rPr>
    </w:lvl>
  </w:abstractNum>
  <w:abstractNum w:abstractNumId="3" w15:restartNumberingAfterBreak="0">
    <w:nsid w:val="32E94325"/>
    <w:multiLevelType w:val="singleLevel"/>
    <w:tmpl w:val="2B7A46F2"/>
    <w:lvl w:ilvl="0">
      <w:start w:val="1"/>
      <w:numFmt w:val="lowerLetter"/>
      <w:lvlText w:val="%1)"/>
      <w:lvlJc w:val="left"/>
      <w:pPr>
        <w:tabs>
          <w:tab w:val="num" w:pos="360"/>
        </w:tabs>
        <w:ind w:left="360" w:hanging="360"/>
      </w:pPr>
      <w:rPr>
        <w:rFonts w:hint="default"/>
      </w:rPr>
    </w:lvl>
  </w:abstractNum>
  <w:abstractNum w:abstractNumId="4" w15:restartNumberingAfterBreak="0">
    <w:nsid w:val="5C9B6F72"/>
    <w:multiLevelType w:val="singleLevel"/>
    <w:tmpl w:val="66289368"/>
    <w:lvl w:ilvl="0">
      <w:start w:val="1"/>
      <w:numFmt w:val="lowerLetter"/>
      <w:lvlText w:val="%1)"/>
      <w:lvlJc w:val="left"/>
      <w:pPr>
        <w:tabs>
          <w:tab w:val="num" w:pos="690"/>
        </w:tabs>
        <w:ind w:left="690" w:hanging="360"/>
      </w:pPr>
      <w:rPr>
        <w:rFonts w:hint="default"/>
      </w:rPr>
    </w:lvl>
  </w:abstractNum>
  <w:abstractNum w:abstractNumId="5" w15:restartNumberingAfterBreak="0">
    <w:nsid w:val="604A3233"/>
    <w:multiLevelType w:val="singleLevel"/>
    <w:tmpl w:val="AEDA683E"/>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687C1867"/>
    <w:multiLevelType w:val="singleLevel"/>
    <w:tmpl w:val="BD2256C4"/>
    <w:lvl w:ilvl="0">
      <w:start w:val="1"/>
      <w:numFmt w:val="lowerLetter"/>
      <w:lvlText w:val="%1)"/>
      <w:lvlJc w:val="left"/>
      <w:pPr>
        <w:tabs>
          <w:tab w:val="num" w:pos="720"/>
        </w:tabs>
        <w:ind w:left="720" w:hanging="360"/>
      </w:pPr>
      <w:rPr>
        <w:rFonts w:hint="default"/>
      </w:rPr>
    </w:lvl>
  </w:abstractNum>
  <w:abstractNum w:abstractNumId="7" w15:restartNumberingAfterBreak="0">
    <w:nsid w:val="695C34B2"/>
    <w:multiLevelType w:val="singleLevel"/>
    <w:tmpl w:val="FAD09906"/>
    <w:lvl w:ilvl="0">
      <w:start w:val="4"/>
      <w:numFmt w:val="decimal"/>
      <w:lvlText w:val="%1)"/>
      <w:lvlJc w:val="left"/>
      <w:pPr>
        <w:tabs>
          <w:tab w:val="num" w:pos="360"/>
        </w:tabs>
        <w:ind w:left="360" w:hanging="360"/>
      </w:pPr>
      <w:rPr>
        <w:rFonts w:hint="default"/>
      </w:rPr>
    </w:lvl>
  </w:abstractNum>
  <w:abstractNum w:abstractNumId="8" w15:restartNumberingAfterBreak="0">
    <w:nsid w:val="78650CA8"/>
    <w:multiLevelType w:val="singleLevel"/>
    <w:tmpl w:val="93CA41F4"/>
    <w:lvl w:ilvl="0">
      <w:start w:val="1"/>
      <w:numFmt w:val="lowerLetter"/>
      <w:lvlText w:val="%1)"/>
      <w:lvlJc w:val="left"/>
      <w:pPr>
        <w:tabs>
          <w:tab w:val="num" w:pos="720"/>
        </w:tabs>
        <w:ind w:left="720" w:hanging="360"/>
      </w:pPr>
      <w:rPr>
        <w:rFonts w:hint="default"/>
        <w:b w:val="0"/>
        <w:bCs w:val="0"/>
      </w:rPr>
    </w:lvl>
  </w:abstractNum>
  <w:num w:numId="1">
    <w:abstractNumId w:val="5"/>
  </w:num>
  <w:num w:numId="2">
    <w:abstractNumId w:val="3"/>
  </w:num>
  <w:num w:numId="3">
    <w:abstractNumId w:val="1"/>
  </w:num>
  <w:num w:numId="4">
    <w:abstractNumId w:val="0"/>
  </w:num>
  <w:num w:numId="5">
    <w:abstractNumId w:val="7"/>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10"/>
    <w:rsid w:val="0051035D"/>
    <w:rsid w:val="007016E5"/>
    <w:rsid w:val="007D2C30"/>
    <w:rsid w:val="00A72110"/>
    <w:rsid w:val="00B36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B7F7F-0D96-447E-A8DC-59926EE8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72110"/>
    <w:pPr>
      <w:autoSpaceDE w:val="0"/>
      <w:autoSpaceDN w:val="0"/>
    </w:pPr>
    <w:rPr>
      <w:rFonts w:ascii="Calibri" w:eastAsiaTheme="minorEastAsia" w:hAnsi="Calibri" w:cs="Calibri"/>
      <w:lang w:eastAsia="pl-PL"/>
    </w:rPr>
  </w:style>
  <w:style w:type="paragraph" w:styleId="Nagwek1">
    <w:name w:val="heading 1"/>
    <w:basedOn w:val="Normalny"/>
    <w:next w:val="Normalny"/>
    <w:link w:val="Nagwek1Znak"/>
    <w:uiPriority w:val="99"/>
    <w:qFormat/>
    <w:rsid w:val="00A72110"/>
    <w:pPr>
      <w:keepNext/>
      <w:spacing w:after="0" w:line="240" w:lineRule="auto"/>
      <w:outlineLvl w:val="0"/>
    </w:pPr>
    <w:rPr>
      <w:rFonts w:ascii="Arial" w:hAnsi="Arial" w:cs="Arial"/>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72110"/>
    <w:rPr>
      <w:rFonts w:ascii="Arial" w:eastAsiaTheme="minorEastAsia" w:hAnsi="Arial" w:cs="Arial"/>
      <w:sz w:val="28"/>
      <w:szCs w:val="28"/>
      <w:lang w:eastAsia="pl-PL"/>
    </w:rPr>
  </w:style>
  <w:style w:type="paragraph" w:styleId="Tekstpodstawowy2">
    <w:name w:val="Body Text 2"/>
    <w:basedOn w:val="Normalny"/>
    <w:link w:val="Tekstpodstawowy2Znak"/>
    <w:uiPriority w:val="99"/>
    <w:rsid w:val="00A72110"/>
    <w:pPr>
      <w:spacing w:after="0" w:line="240" w:lineRule="auto"/>
      <w:jc w:val="both"/>
    </w:pPr>
    <w:rPr>
      <w:rFonts w:ascii="Arial" w:hAnsi="Arial" w:cs="Arial"/>
      <w:sz w:val="18"/>
      <w:szCs w:val="18"/>
    </w:rPr>
  </w:style>
  <w:style w:type="character" w:customStyle="1" w:styleId="Tekstpodstawowy2Znak">
    <w:name w:val="Tekst podstawowy 2 Znak"/>
    <w:basedOn w:val="Domylnaczcionkaakapitu"/>
    <w:link w:val="Tekstpodstawowy2"/>
    <w:uiPriority w:val="99"/>
    <w:rsid w:val="00A72110"/>
    <w:rPr>
      <w:rFonts w:ascii="Arial" w:eastAsiaTheme="minorEastAsia" w:hAnsi="Arial" w:cs="Arial"/>
      <w:sz w:val="18"/>
      <w:szCs w:val="18"/>
      <w:lang w:eastAsia="pl-PL"/>
    </w:rPr>
  </w:style>
  <w:style w:type="paragraph" w:styleId="Tekstpodstawowy3">
    <w:name w:val="Body Text 3"/>
    <w:basedOn w:val="Normalny"/>
    <w:link w:val="Tekstpodstawowy3Znak"/>
    <w:uiPriority w:val="99"/>
    <w:rsid w:val="00A72110"/>
    <w:pPr>
      <w:spacing w:after="0" w:line="240" w:lineRule="auto"/>
    </w:pPr>
    <w:rPr>
      <w:rFonts w:ascii="Arial" w:hAnsi="Arial" w:cs="Arial"/>
      <w:b/>
      <w:bCs/>
      <w:sz w:val="24"/>
      <w:szCs w:val="24"/>
      <w:u w:val="single"/>
    </w:rPr>
  </w:style>
  <w:style w:type="character" w:customStyle="1" w:styleId="Tekstpodstawowy3Znak">
    <w:name w:val="Tekst podstawowy 3 Znak"/>
    <w:basedOn w:val="Domylnaczcionkaakapitu"/>
    <w:link w:val="Tekstpodstawowy3"/>
    <w:uiPriority w:val="99"/>
    <w:rsid w:val="00A72110"/>
    <w:rPr>
      <w:rFonts w:ascii="Arial" w:eastAsiaTheme="minorEastAsia" w:hAnsi="Arial" w:cs="Arial"/>
      <w:b/>
      <w:bCs/>
      <w:sz w:val="24"/>
      <w:szCs w:val="24"/>
      <w:u w:val="single"/>
      <w:lang w:eastAsia="pl-PL"/>
    </w:rPr>
  </w:style>
  <w:style w:type="paragraph" w:customStyle="1" w:styleId="Default">
    <w:name w:val="Default"/>
    <w:uiPriority w:val="99"/>
    <w:rsid w:val="00A72110"/>
    <w:pPr>
      <w:autoSpaceDE w:val="0"/>
      <w:autoSpaceDN w:val="0"/>
      <w:spacing w:after="0" w:line="240" w:lineRule="auto"/>
    </w:pPr>
    <w:rPr>
      <w:rFonts w:ascii="Calibri" w:eastAsiaTheme="minorEastAsia" w:hAnsi="Calibri" w:cs="Calibri"/>
      <w:color w:val="000000"/>
      <w:sz w:val="24"/>
      <w:szCs w:val="24"/>
      <w:lang w:eastAsia="pl-PL"/>
    </w:rPr>
  </w:style>
  <w:style w:type="paragraph" w:styleId="Stopka">
    <w:name w:val="footer"/>
    <w:basedOn w:val="Normalny"/>
    <w:link w:val="StopkaZnak"/>
    <w:uiPriority w:val="99"/>
    <w:rsid w:val="00A72110"/>
    <w:pPr>
      <w:tabs>
        <w:tab w:val="center" w:pos="4536"/>
        <w:tab w:val="right" w:pos="9072"/>
      </w:tabs>
    </w:pPr>
  </w:style>
  <w:style w:type="character" w:customStyle="1" w:styleId="StopkaZnak">
    <w:name w:val="Stopka Znak"/>
    <w:basedOn w:val="Domylnaczcionkaakapitu"/>
    <w:link w:val="Stopka"/>
    <w:uiPriority w:val="99"/>
    <w:rsid w:val="00A72110"/>
    <w:rPr>
      <w:rFonts w:ascii="Calibri" w:eastAsiaTheme="minorEastAsia" w:hAnsi="Calibri" w:cs="Calibri"/>
      <w:lang w:eastAsia="pl-PL"/>
    </w:rPr>
  </w:style>
  <w:style w:type="character" w:styleId="Numerstrony">
    <w:name w:val="page number"/>
    <w:basedOn w:val="Domylnaczcionkaakapitu"/>
    <w:uiPriority w:val="99"/>
    <w:rsid w:val="00A72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1808</Words>
  <Characters>10848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Mendyk</dc:creator>
  <cp:keywords/>
  <dc:description/>
  <cp:lastModifiedBy>Dariusz Mendyk</cp:lastModifiedBy>
  <cp:revision>1</cp:revision>
  <dcterms:created xsi:type="dcterms:W3CDTF">2024-09-26T13:07:00Z</dcterms:created>
  <dcterms:modified xsi:type="dcterms:W3CDTF">2024-09-26T13:13:00Z</dcterms:modified>
</cp:coreProperties>
</file>